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业务操作指引（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eastAsia="zh-CN" w:bidi="ar"/>
        </w:rPr>
        <w:t>北京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试点版)</w:t>
      </w:r>
    </w:p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  <w:r>
        <w:rPr>
          <w:rFonts w:hint="default" w:ascii="楷体" w:hAnsi="楷体" w:eastAsia="楷体" w:cs="楷体"/>
          <w:b/>
          <w:color w:val="000000"/>
          <w:kern w:val="0"/>
          <w:sz w:val="44"/>
          <w:szCs w:val="44"/>
          <w:lang w:bidi="ar"/>
        </w:rPr>
        <w:t>10026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发票遗失、损毁报告</w:t>
      </w:r>
    </w:p>
    <w:p>
      <w:pPr>
        <w:jc w:val="center"/>
        <w:rPr>
          <w:rFonts w:hint="default" w:ascii="楷体" w:hAnsi="楷体" w:eastAsia="楷体" w:cs="楷体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val="en-US" w:eastAsia="zh-CN" w:bidi="ar"/>
        </w:rPr>
        <w:t>202405</w:t>
      </w:r>
    </w:p>
    <w:p>
      <w:pPr>
        <w:spacing w:before="120" w:after="120"/>
        <w:jc w:val="center"/>
        <w:rPr>
          <w:rFonts w:eastAsia="黑体"/>
          <w:b/>
          <w:sz w:val="44"/>
          <w:szCs w:val="44"/>
        </w:rPr>
      </w:pPr>
      <w:bookmarkStart w:id="0" w:name="_Toc21020"/>
      <w:bookmarkStart w:id="1" w:name="_Toc21919"/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eastAsia="黑体"/>
          <w:b/>
          <w:sz w:val="44"/>
          <w:szCs w:val="44"/>
        </w:rPr>
        <w:t>修订状况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87"/>
        <w:gridCol w:w="2268"/>
        <w:gridCol w:w="890"/>
        <w:gridCol w:w="1228"/>
        <w:gridCol w:w="876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章节编号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章节名称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修订内容简述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修订人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修订日期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批准人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版本号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iCs/>
                <w:szCs w:val="21"/>
              </w:rPr>
            </w:pPr>
            <w:r>
              <w:rPr>
                <w:rFonts w:hint="eastAsia" w:cs="Times New Roman"/>
                <w:iCs/>
                <w:szCs w:val="21"/>
              </w:rPr>
              <w:t>全部章节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iCs/>
                <w:szCs w:val="21"/>
              </w:rPr>
            </w:pPr>
            <w:r>
              <w:rPr>
                <w:rFonts w:hint="eastAsia" w:cs="Times New Roman"/>
                <w:iCs/>
                <w:szCs w:val="21"/>
              </w:rPr>
              <w:t>全部章节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iCs/>
                <w:szCs w:val="21"/>
              </w:rPr>
            </w:pPr>
            <w:r>
              <w:rPr>
                <w:rFonts w:hint="eastAsia" w:cs="Times New Roman"/>
                <w:iCs/>
                <w:szCs w:val="21"/>
              </w:rPr>
              <w:t>全文新建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iCs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iCs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iCs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iCs/>
                <w:szCs w:val="21"/>
              </w:rPr>
            </w:pPr>
            <w:r>
              <w:rPr>
                <w:rFonts w:hint="default" w:cs="Times New Roman"/>
                <w:iCs/>
                <w:szCs w:val="21"/>
              </w:rPr>
              <w:t>V0.01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3"/>
        <w:numPr>
          <w:ilvl w:val="0"/>
          <w:numId w:val="1"/>
        </w:numPr>
        <w:ind w:left="-13" w:leftChars="0" w:firstLine="643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业务概述</w:t>
      </w:r>
      <w:bookmarkEnd w:id="0"/>
      <w:bookmarkEnd w:id="1"/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topLinePunct/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使用发票的单位和个人应当妥善保管发票。发生发票丢失情形时，应当于发现丢失当日书面报告税务机关。</w:t>
      </w:r>
    </w:p>
    <w:p>
      <w:pPr>
        <w:pStyle w:val="3"/>
        <w:numPr>
          <w:ilvl w:val="0"/>
          <w:numId w:val="1"/>
        </w:numPr>
        <w:ind w:left="-13" w:leftChars="0" w:firstLine="643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办理流程</w:t>
      </w:r>
    </w:p>
    <w:p>
      <w:pPr>
        <w:topLinePunct/>
        <w:spacing w:line="360" w:lineRule="auto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1、启动</w:t>
      </w:r>
    </w:p>
    <w:p>
      <w:pPr>
        <w:topLinePunct/>
        <w:spacing w:line="360" w:lineRule="auto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纳税人发生发票遗失、损毁情形，进入系统办理；税务人员在日常税收征管中发现纳税人遗失或损毁发票未报告，应责令纳税人发起报告并进行税收（规费）违法行为处理。</w:t>
      </w:r>
    </w:p>
    <w:p>
      <w:pPr>
        <w:topLinePunct/>
        <w:spacing w:line="360" w:lineRule="auto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2、填报确认</w:t>
      </w:r>
    </w:p>
    <w:p>
      <w:pPr>
        <w:topLinePunct/>
        <w:spacing w:line="360" w:lineRule="auto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纳税人填写发票挂失、损毁相关报告信息。</w:t>
      </w:r>
    </w:p>
    <w:p>
      <w:pPr>
        <w:topLinePunct/>
        <w:spacing w:line="360" w:lineRule="auto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根据填报信息及系统监控信息判断是否需进行失控发票处理、空白发票缴销、发票验（交）旧，如需则系统推送失控发票处理模块并智能标记相应发票及其联次为“失控”、“认证后失控”等，推送发票结存模块自动删除该段发票结存，推送发票验（交）旧模块自动验旧该段发票，并将挂失损毁结果数据同步到税控系统和核心征管系统。</w:t>
      </w:r>
    </w:p>
    <w:p>
      <w:pPr>
        <w:topLinePunct/>
        <w:spacing w:line="360" w:lineRule="auto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随后判断是否需进行税收（规费）违法行为处理，如是则推送税收（规费）违法行为处理模块处理，处理后返回本模块办结本事项。</w:t>
      </w:r>
    </w:p>
    <w:p>
      <w:pPr>
        <w:topLinePunct/>
        <w:spacing w:line="360" w:lineRule="auto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如纳税人在办理发票遗失损毁时未提供《发票领用簿》，当纳税人下次办理相关业务并提供《发票领用簿》时，系统应支持按照业务发生先后顺序自动补打本次遗失损毁发票信息。</w:t>
      </w:r>
    </w:p>
    <w:p>
      <w:pPr>
        <w:topLinePunct/>
        <w:spacing w:line="360" w:lineRule="auto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如纳税人在办理发票遗失损毁时提供《发票领用簿》，系统应支持打印《发票领用簿》。</w:t>
      </w:r>
    </w:p>
    <w:p>
      <w:pPr>
        <w:topLinePunct/>
        <w:spacing w:line="360" w:lineRule="auto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支持对电子发票服务平台开具的纸质发票进行挂失损毁，挂失损毁后同步减少纳税人结存，并将挂失损毁结果数据同步到电子发票服务平台。</w:t>
      </w:r>
    </w:p>
    <w:p>
      <w:pPr>
        <w:pStyle w:val="3"/>
        <w:numPr>
          <w:ilvl w:val="0"/>
          <w:numId w:val="1"/>
        </w:numPr>
        <w:ind w:left="-13" w:leftChars="0" w:firstLine="643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关联场景</w:t>
      </w:r>
    </w:p>
    <w:p>
      <w:pPr>
        <w:ind w:firstLine="420" w:firstLineChars="200"/>
        <w:rPr>
          <w:rFonts w:hint="eastAsia"/>
        </w:rPr>
      </w:pPr>
    </w:p>
    <w:tbl>
      <w:tblPr>
        <w:tblStyle w:val="5"/>
        <w:tblW w:w="880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00"/>
        <w:gridCol w:w="1577"/>
        <w:gridCol w:w="46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D7D7D7" w:themeFill="background1" w:themeFillShade="D8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highlight w:val="none"/>
              </w:rPr>
              <w:t>场景编号</w:t>
            </w:r>
          </w:p>
        </w:tc>
        <w:tc>
          <w:tcPr>
            <w:tcW w:w="1400" w:type="dxa"/>
            <w:shd w:val="clear" w:color="auto" w:fill="D7D7D7" w:themeFill="background1" w:themeFillShade="D8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highlight w:val="none"/>
              </w:rPr>
              <w:t>场景顺序</w:t>
            </w:r>
          </w:p>
        </w:tc>
        <w:tc>
          <w:tcPr>
            <w:tcW w:w="1577" w:type="dxa"/>
            <w:shd w:val="clear" w:color="auto" w:fill="D7D7D7" w:themeFill="background1" w:themeFillShade="D8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highlight w:val="none"/>
              </w:rPr>
              <w:t>场景名称</w:t>
            </w:r>
          </w:p>
        </w:tc>
        <w:tc>
          <w:tcPr>
            <w:tcW w:w="4694" w:type="dxa"/>
            <w:shd w:val="clear" w:color="auto" w:fill="D7D7D7" w:themeFill="background1" w:themeFillShade="D8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highlight w:val="none"/>
              </w:rPr>
              <w:t>关联关系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前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场景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发票领用</w:t>
            </w:r>
          </w:p>
        </w:tc>
        <w:tc>
          <w:tcPr>
            <w:tcW w:w="4694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纳税人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领用纸质版发票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主场景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发票遗失、损毁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报告</w:t>
            </w:r>
          </w:p>
        </w:tc>
        <w:tc>
          <w:tcPr>
            <w:tcW w:w="4694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纳税人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发生发票遗失、损毁情形向税务机关报告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后续场景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税收（规费）违法行为处理</w:t>
            </w:r>
          </w:p>
        </w:tc>
        <w:tc>
          <w:tcPr>
            <w:tcW w:w="4694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根据具体遗失、损毁情形判断是否需进行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税收（规费）违法行为处理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后续场景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失控发票处理</w:t>
            </w:r>
          </w:p>
        </w:tc>
        <w:tc>
          <w:tcPr>
            <w:tcW w:w="4694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遗失或损毁的发票为税控发票，应作为失控发票处理，此环节由系统自动处理，并将数据同步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税控2.0系统、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核心征管系统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或电子发票服务平台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后续场景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发票缴销</w:t>
            </w:r>
          </w:p>
        </w:tc>
        <w:tc>
          <w:tcPr>
            <w:tcW w:w="4694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“缴销类型”为“空白发票丢失、被盗、损毁”时，保存后系统自动删除该段发票结存，并将数据同步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到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税控2.0系统、核心征管系统或电子发票服务平台。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</w:rPr>
              <w:t>后续场景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发票验（交）旧</w:t>
            </w:r>
          </w:p>
        </w:tc>
        <w:tc>
          <w:tcPr>
            <w:tcW w:w="4694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缴销类型”为“未验旧发票存根联丢失被盗”时，保存后系统自动验旧该段发票结存，并将数据同步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税控2.0系统、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核心征管系统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或电子发票服务平台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后续场景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调查巡查</w:t>
            </w:r>
          </w:p>
        </w:tc>
        <w:tc>
          <w:tcPr>
            <w:tcW w:w="4694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日常征管或大数据发现纳税人存在发票遗失、损毁未报告时触发</w:t>
            </w:r>
          </w:p>
        </w:tc>
      </w:tr>
    </w:tbl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numPr>
          <w:ilvl w:val="0"/>
          <w:numId w:val="1"/>
        </w:numPr>
        <w:ind w:left="-13" w:leftChars="0" w:firstLine="643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功能路径</w:t>
      </w:r>
    </w:p>
    <w:p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1.我要办税-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发票业务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发票申领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-发票遗失、损毁报告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2.通过首页搜索栏输入关键字查找出的“发票遗失、损毁报告”进入。</w:t>
      </w:r>
    </w:p>
    <w:p>
      <w:pPr>
        <w:pStyle w:val="3"/>
        <w:numPr>
          <w:ilvl w:val="0"/>
          <w:numId w:val="1"/>
        </w:numPr>
        <w:ind w:left="-13" w:leftChars="0" w:firstLine="643" w:firstLineChars="0"/>
        <w:outlineLvl w:val="0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</w:rPr>
        <w:t>登录新电子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税务</w:t>
      </w:r>
      <w:r>
        <w:rPr>
          <w:rFonts w:hint="eastAsia" w:ascii="华文仿宋" w:hAnsi="华文仿宋" w:eastAsia="华文仿宋" w:cs="华文仿宋"/>
          <w:sz w:val="32"/>
          <w:szCs w:val="32"/>
        </w:rPr>
        <w:t>局后，点击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我要办税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发票业务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发票申领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】-【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发票遗失、损毁报告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</w:rPr>
        <w:t>功能菜单。</w:t>
      </w:r>
    </w:p>
    <w:p>
      <w:pPr>
        <w:pStyle w:val="4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9622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2.进入功能后，纳税人点击“新增”按钮，弹出新增页面。录入信息后点击确认按钮进行保存。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962275"/>
            <wp:effectExtent l="0" t="0" r="381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drawing>
          <wp:inline distT="0" distB="0" distL="114300" distR="114300">
            <wp:extent cx="5266690" cy="2962910"/>
            <wp:effectExtent l="0" t="0" r="381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962275"/>
            <wp:effectExtent l="0" t="0" r="381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3.点击“预览”按钮，可预览报告表。</w:t>
      </w:r>
    </w:p>
    <w:p>
      <w:pPr>
        <w:numPr>
          <w:ilvl w:val="0"/>
          <w:numId w:val="0"/>
        </w:numPr>
        <w:jc w:val="left"/>
      </w:pPr>
      <w:bookmarkStart w:id="2" w:name="_GoBack"/>
      <w:r>
        <w:drawing>
          <wp:inline distT="0" distB="0" distL="114300" distR="114300">
            <wp:extent cx="5266690" cy="2962275"/>
            <wp:effectExtent l="0" t="0" r="381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pStyle w:val="4"/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4.纳税人确认所填信息无误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，点击“提交”按钮，提交到核心，页面显示办理成功。</w:t>
      </w:r>
    </w:p>
    <w:p>
      <w:pPr>
        <w:numPr>
          <w:ilvl w:val="0"/>
          <w:numId w:val="0"/>
        </w:numPr>
        <w:rPr>
          <w:rFonts w:hint="eastAsia" w:eastAsia="华文仿宋"/>
          <w:lang w:eastAsia="zh-CN"/>
        </w:rPr>
      </w:pPr>
      <w:r>
        <w:drawing>
          <wp:inline distT="0" distB="0" distL="114300" distR="114300">
            <wp:extent cx="5266690" cy="2962910"/>
            <wp:effectExtent l="0" t="0" r="3810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710" w:left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ind w:left="-13" w:leftChars="0" w:firstLine="643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报送资料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无。</w:t>
      </w:r>
    </w:p>
    <w:p>
      <w:pPr>
        <w:pStyle w:val="3"/>
        <w:numPr>
          <w:ilvl w:val="0"/>
          <w:numId w:val="1"/>
        </w:numPr>
        <w:ind w:left="-13" w:leftChars="0" w:firstLine="643" w:firstLineChars="0"/>
        <w:outlineLvl w:val="0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注意事项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当“报告类型代码”为丢失或被盗时，“缴销类型”为“空白发票丢失、被盗”时，保存后系统自动删除该段发票结存，将结果数据同步至税控2.0系统和核心征管系统。</w:t>
      </w:r>
      <w:r>
        <w:rPr>
          <w:rFonts w:hint="eastAsia" w:ascii="华文仿宋" w:hAnsi="华文仿宋" w:eastAsia="华文仿宋" w:cs="华文仿宋"/>
          <w:sz w:val="32"/>
          <w:szCs w:val="32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 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“缴销类型”为“未验旧发票存根联丢失被盗”时，保存后系统自动验旧该段发票，同步至税控2.0系统和核心征管系统。</w:t>
      </w:r>
    </w:p>
    <w:p>
      <w:pPr>
        <w:pStyle w:val="3"/>
        <w:numPr>
          <w:ilvl w:val="0"/>
          <w:numId w:val="1"/>
        </w:numPr>
        <w:ind w:left="-13" w:leftChars="0" w:firstLine="643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满足什么条件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纳税人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可以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办理此业务</w:t>
      </w:r>
      <w:r>
        <w:rPr>
          <w:rFonts w:hint="eastAsia" w:ascii="华文仿宋" w:hAnsi="华文仿宋" w:eastAsia="华文仿宋" w:cs="华文仿宋"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答：纳税人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需要在</w:t>
      </w:r>
      <w:r>
        <w:rPr>
          <w:rFonts w:hint="eastAsia" w:ascii="华文仿宋" w:hAnsi="华文仿宋" w:eastAsia="华文仿宋" w:cs="华文仿宋"/>
          <w:sz w:val="32"/>
          <w:szCs w:val="32"/>
        </w:rPr>
        <w:t>系统内存在有效的纸质发票票种核定信息。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2.什么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状态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的纳税人可以办理此业务</w:t>
      </w:r>
      <w:r>
        <w:rPr>
          <w:rFonts w:hint="eastAsia" w:ascii="华文仿宋" w:hAnsi="华文仿宋" w:eastAsia="华文仿宋" w:cs="华文仿宋"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答：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纳税人为正常状态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rPr>
          <w:rFonts w:hint="eastAsia" w:ascii="华文仿宋" w:hAnsi="华文仿宋" w:eastAsia="华文仿宋" w:cs="华文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DA0EF"/>
    <w:multiLevelType w:val="singleLevel"/>
    <w:tmpl w:val="7C1DA0EF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OTU2ZjU0YTMyYmM0MmQwZmZkNDc3YzIzODE3YTIifQ=="/>
  </w:docVars>
  <w:rsids>
    <w:rsidRoot w:val="BAFF4711"/>
    <w:rsid w:val="02FC3896"/>
    <w:rsid w:val="11E865D6"/>
    <w:rsid w:val="1E7280CD"/>
    <w:rsid w:val="20F25414"/>
    <w:rsid w:val="248B4D6B"/>
    <w:rsid w:val="34DA25F6"/>
    <w:rsid w:val="388F422C"/>
    <w:rsid w:val="38A50ED6"/>
    <w:rsid w:val="3A401606"/>
    <w:rsid w:val="3BF7F788"/>
    <w:rsid w:val="3D5530ED"/>
    <w:rsid w:val="3E4535E6"/>
    <w:rsid w:val="42EB567A"/>
    <w:rsid w:val="46F20290"/>
    <w:rsid w:val="4C1054D7"/>
    <w:rsid w:val="504A34D5"/>
    <w:rsid w:val="6F7F179A"/>
    <w:rsid w:val="6FBD11F3"/>
    <w:rsid w:val="ADB8547C"/>
    <w:rsid w:val="BAFF4711"/>
    <w:rsid w:val="EEE73ABB"/>
    <w:rsid w:val="F7BF8ACE"/>
    <w:rsid w:val="F7E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ascii="Arial" w:hAnsi="Arial"/>
    </w:rPr>
  </w:style>
  <w:style w:type="paragraph" w:customStyle="1" w:styleId="7">
    <w:name w:val="_Style 3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8">
    <w:name w:val="表格文字 左对齐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Arial" w:hAnsi="Arial" w:eastAsia="Times New Roman" w:cs="Arial"/>
      <w:kern w:val="0"/>
      <w:sz w:val="18"/>
      <w:szCs w:val="18"/>
      <w:lang w:val="en-US" w:eastAsia="zh-CN" w:bidi="ar"/>
    </w:rPr>
  </w:style>
  <w:style w:type="paragraph" w:customStyle="1" w:styleId="9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">
    <w:name w:val="表格文字 居中"/>
    <w:qFormat/>
    <w:uiPriority w:val="0"/>
    <w:pPr>
      <w:spacing w:before="0" w:beforeAutospacing="0" w:after="0" w:afterAutospacing="0"/>
      <w:ind w:left="0" w:right="0" w:firstLine="0"/>
      <w:jc w:val="center"/>
    </w:pPr>
    <w:rPr>
      <w:rFonts w:hint="default" w:ascii="Times New Roman" w:hAnsi="Times New Roman" w:eastAsia="宋体" w:cs="宋体"/>
      <w:kern w:val="2"/>
      <w:sz w:val="21"/>
      <w:szCs w:val="21"/>
      <w:lang w:val="en-US" w:eastAsia="zh-CN" w:bidi="ar"/>
    </w:rPr>
  </w:style>
  <w:style w:type="paragraph" w:customStyle="1" w:styleId="11">
    <w:name w:val="表格列标题"/>
    <w:basedOn w:val="12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3">
    <w:name w:val="表格标题栏"/>
    <w:qFormat/>
    <w:uiPriority w:val="0"/>
    <w:pPr>
      <w:jc w:val="center"/>
    </w:pPr>
    <w:rPr>
      <w:rFonts w:ascii="Times New Roman" w:hAnsi="Times New Roman" w:eastAsia="宋体" w:cs="宋体"/>
      <w:b/>
      <w:bCs/>
      <w:kern w:val="2"/>
      <w:sz w:val="21"/>
      <w:lang w:val="en-US" w:eastAsia="zh-CN" w:bidi="ar-SA"/>
    </w:rPr>
  </w:style>
  <w:style w:type="paragraph" w:customStyle="1" w:styleId="14">
    <w:name w:val="表格正文-中间对齐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15">
    <w:name w:val="表格正文-左对齐"/>
    <w:qFormat/>
    <w:uiPriority w:val="0"/>
    <w:rPr>
      <w:rFonts w:ascii="Times New Roman" w:hAnsi="Times New Roman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1428</Words>
  <Characters>1461</Characters>
  <Lines>0</Lines>
  <Paragraphs>0</Paragraphs>
  <TotalTime>39</TotalTime>
  <ScaleCrop>false</ScaleCrop>
  <LinksUpToDate>false</LinksUpToDate>
  <CharactersWithSpaces>1466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2023-03-19T06:59:00Z</dcterms:created>
  <dc:creator>白白胖胖</dc:creator>
  <cp:lastModifiedBy>橘子船长</cp:lastModifiedBy>
  <dcterms:modified xsi:type="dcterms:W3CDTF">2024-05-20T06:36:06Z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9F0565C34EB0DCDE4861156402DC541F_41</vt:lpwstr>
  </property>
</Properties>
</file>