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bidi="ar"/>
        </w:rPr>
        <w:t>业务操作指引</w:t>
      </w:r>
    </w:p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lang w:val="en-US" w:eastAsia="zh-CN" w:bidi="ar"/>
        </w:rPr>
        <w:t>40053查阅行政复议资料申请</w:t>
      </w:r>
    </w:p>
    <w:p>
      <w:pPr>
        <w:pStyle w:val="3"/>
        <w:numPr>
          <w:ilvl w:val="0"/>
          <w:numId w:val="1"/>
        </w:numPr>
        <w:ind w:firstLine="642" w:firstLineChars="200"/>
        <w:rPr>
          <w:sz w:val="32"/>
          <w:szCs w:val="32"/>
        </w:rPr>
      </w:pPr>
      <w:r>
        <w:rPr>
          <w:sz w:val="32"/>
          <w:szCs w:val="32"/>
        </w:rPr>
        <w:t xml:space="preserve">业务概述 </w:t>
      </w:r>
    </w:p>
    <w:p>
      <w:pPr>
        <w:ind w:firstLine="640" w:firstLineChars="200"/>
        <w:rPr>
          <w:rFonts w:hint="eastAsia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查阅行政复议资料申请，是指在行政复议</w:t>
      </w:r>
      <w:bookmarkStart w:id="0" w:name="_GoBack"/>
      <w:bookmarkEnd w:id="0"/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期间，申请人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第三人及其委托代理人可以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  <w:lang w:val="en-US" w:eastAsia="zh-CN"/>
        </w:rPr>
        <w:t>按照规定向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行政复议机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  <w:lang w:val="en-US" w:eastAsia="zh-CN"/>
        </w:rPr>
        <w:t>构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申请查阅被申请人提出的书面答复、作出行政行为的证据、依据和其他有关材料，除涉及国家秘密、商业秘密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个人隐私</w:t>
      </w:r>
      <w:r>
        <w:rPr>
          <w:rFonts w:eastAsia="仿宋_GB2312"/>
          <w:sz w:val="32"/>
        </w:rPr>
        <w:t>或者可能危及国家安全、公共安全、社会稳定的情形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外，行政复议机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  <w:lang w:val="en-US" w:eastAsia="zh-CN"/>
        </w:rPr>
        <w:t>构</w:t>
      </w:r>
      <w:r>
        <w:rPr>
          <w:rFonts w:eastAsia="仿宋_GB2312"/>
          <w:sz w:val="32"/>
        </w:rPr>
        <w:t>应当同意。</w:t>
      </w:r>
    </w:p>
    <w:p>
      <w:pPr>
        <w:pStyle w:val="3"/>
        <w:ind w:firstLine="642" w:firstLineChars="200"/>
        <w:rPr>
          <w:rFonts w:hint="eastAsia" w:ascii="华文仿宋" w:hAnsi="华文仿宋" w:eastAsia="华文仿宋" w:cs="华文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sz w:val="32"/>
          <w:szCs w:val="32"/>
        </w:rPr>
        <w:t>二、办理流程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bCs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bCs/>
          <w:kern w:val="2"/>
          <w:sz w:val="32"/>
          <w:szCs w:val="32"/>
          <w:shd w:val="clear" w:color="auto" w:fill="FFFFFF"/>
          <w:lang w:val="en-US" w:eastAsia="zh-CN" w:bidi="ar-SA"/>
        </w:rPr>
        <w:t>1.纳税人主动发起“查阅行政复议资料申请”；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kern w:val="2"/>
          <w:sz w:val="32"/>
          <w:szCs w:val="32"/>
          <w:shd w:val="clear" w:color="auto" w:fill="FFFFFF"/>
          <w:lang w:val="en-US" w:eastAsia="zh-CN" w:bidi="ar-SA"/>
        </w:rPr>
        <w:t>2.纳税人查看消息提醒，按指定时间、地点查阅行政复议资料；</w:t>
      </w:r>
    </w:p>
    <w:p>
      <w:pPr>
        <w:pStyle w:val="3"/>
        <w:ind w:firstLine="642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、功能路径</w:t>
      </w:r>
    </w:p>
    <w:p>
      <w:pPr>
        <w:ind w:firstLine="640" w:firstLineChars="200"/>
        <w:rPr>
          <w:rFonts w:hint="eastAsia" w:eastAsia="华文仿宋"/>
          <w:lang w:eastAsia="zh-CN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1.我要办税--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法律追责与救济事项-查阅行政复议资料申请</w:t>
      </w:r>
      <w:r>
        <w:rPr>
          <w:rFonts w:hint="eastAsia" w:ascii="华文仿宋" w:hAnsi="华文仿宋" w:eastAsia="华文仿宋" w:cs="华文仿宋"/>
          <w:bCs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华文仿宋" w:hAnsi="华文仿宋" w:eastAsia="华文仿宋" w:cs="华文仿宋"/>
          <w:bCs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shd w:val="clear" w:color="auto" w:fill="FFFFFF"/>
        </w:rPr>
        <w:t>2.通过</w:t>
      </w:r>
      <w:r>
        <w:rPr>
          <w:rFonts w:hint="eastAsia" w:ascii="华文仿宋" w:hAnsi="华文仿宋" w:eastAsia="华文仿宋" w:cs="华文仿宋"/>
          <w:bCs/>
          <w:sz w:val="32"/>
          <w:szCs w:val="32"/>
          <w:shd w:val="clear" w:color="auto" w:fill="FFFFFF"/>
          <w:lang w:eastAsia="zh-CN"/>
        </w:rPr>
        <w:t>“我的待办”事项处理</w:t>
      </w:r>
      <w:r>
        <w:rPr>
          <w:rFonts w:hint="eastAsia" w:ascii="华文仿宋" w:hAnsi="华文仿宋" w:eastAsia="华文仿宋" w:cs="华文仿宋"/>
          <w:bCs/>
          <w:sz w:val="32"/>
          <w:szCs w:val="32"/>
          <w:shd w:val="clear" w:color="auto" w:fill="FFFFFF"/>
        </w:rPr>
        <w:t>进入。</w:t>
      </w:r>
    </w:p>
    <w:p>
      <w:pPr>
        <w:ind w:firstLine="640" w:firstLineChars="200"/>
        <w:rPr>
          <w:rFonts w:ascii="华文仿宋" w:hAnsi="华文仿宋" w:eastAsia="华文仿宋" w:cs="华文仿宋"/>
          <w:bCs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shd w:val="clear" w:color="auto" w:fill="FFFFFF"/>
        </w:rPr>
        <w:t>3.通过首页搜索栏输入关键字查找。</w:t>
      </w:r>
    </w:p>
    <w:p>
      <w:pPr>
        <w:pStyle w:val="3"/>
        <w:ind w:firstLine="642" w:firstLineChars="200"/>
        <w:rPr>
          <w:rFonts w:hint="eastAsia"/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Hans"/>
        </w:rPr>
        <w:t>操作步骤</w:t>
      </w:r>
    </w:p>
    <w:p>
      <w:pPr>
        <w:ind w:firstLine="640" w:firstLineChars="200"/>
        <w:rPr>
          <w:rFonts w:hint="eastAsia"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步骤一 进入查阅行政复议资料申请页面。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登录电子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税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务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局后，点击【我要办税】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①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-【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下一页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】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②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-【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法律追责与救济事项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】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③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-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【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查阅行政复议资料申请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】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④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  <w:t>功能菜单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。</w:t>
      </w:r>
    </w:p>
    <w:p>
      <w:pPr>
        <w:pStyle w:val="2"/>
        <w:ind w:left="0" w:leftChars="0" w:right="-92" w:rightChars="-44" w:firstLine="0" w:firstLineChars="0"/>
        <w:rPr>
          <w:rFonts w:hint="eastAsia" w:eastAsia="华文仿宋"/>
          <w:lang w:val="en-US" w:eastAsia="zh-CN"/>
        </w:rPr>
      </w:pPr>
      <w:r>
        <w:rPr>
          <w:rFonts w:hint="eastAsia" w:eastAsia="华文仿宋"/>
          <w:lang w:val="en-US" w:eastAsia="zh-CN"/>
        </w:rPr>
        <w:drawing>
          <wp:inline distT="0" distB="0" distL="114300" distR="114300">
            <wp:extent cx="5266690" cy="2448560"/>
            <wp:effectExtent l="0" t="0" r="6350" b="5080"/>
            <wp:docPr id="2" name="图片 2" descr="1查阅进入页面（修改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查阅进入页面（修改）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华文仿宋" w:hAnsi="华文仿宋" w:eastAsia="华文仿宋" w:cs="华文仿宋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Cs/>
          <w:color w:val="FF0000"/>
          <w:kern w:val="2"/>
          <w:sz w:val="32"/>
          <w:szCs w:val="32"/>
          <w:lang w:val="en-US" w:eastAsia="zh-CN" w:bidi="ar-SA"/>
        </w:rPr>
        <w:t>此处注意：系统会自动监测纳税人有无相关行政复议案件信息，如无则无法申请该业务。</w:t>
      </w:r>
    </w:p>
    <w:p>
      <w:pPr>
        <w:pStyle w:val="2"/>
        <w:ind w:left="0" w:leftChars="0" w:right="-92" w:rightChars="-44" w:firstLine="0" w:firstLineChars="0"/>
        <w:rPr>
          <w:rFonts w:hint="eastAsia" w:eastAsia="华文仿宋"/>
          <w:lang w:val="en-US" w:eastAsia="zh-CN"/>
        </w:rPr>
      </w:pPr>
      <w:r>
        <w:rPr>
          <w:rFonts w:hint="default" w:eastAsia="华文仿宋"/>
          <w:lang w:val="en-US" w:eastAsia="zh-CN"/>
        </w:rPr>
        <w:drawing>
          <wp:inline distT="0" distB="0" distL="114300" distR="114300">
            <wp:extent cx="5266690" cy="2290445"/>
            <wp:effectExtent l="0" t="0" r="3810" b="8255"/>
            <wp:docPr id="8" name="图片 1" descr="无法申请的情况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无法申请的情况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kern w:val="2"/>
          <w:sz w:val="32"/>
          <w:szCs w:val="32"/>
          <w:lang w:val="en-US" w:eastAsia="zh-CN" w:bidi="ar-SA"/>
        </w:rPr>
        <w:t xml:space="preserve">步骤二 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展示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纳税人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关联的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行政复议资料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。</w:t>
      </w:r>
    </w:p>
    <w:p>
      <w:pPr>
        <w:pStyle w:val="2"/>
        <w:ind w:left="0" w:leftChars="0" w:firstLine="0" w:firstLineChars="0"/>
        <w:rPr>
          <w:rFonts w:hint="eastAsia" w:ascii="华文仿宋" w:hAnsi="华文仿宋" w:eastAsia="华文仿宋" w:cs="华文仿宋"/>
          <w:bCs/>
          <w:sz w:val="32"/>
          <w:szCs w:val="32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2453640"/>
            <wp:effectExtent l="0" t="0" r="0" b="0"/>
            <wp:docPr id="3" name="图片 3" descr="2进入模块添加想要查阅的资料名称，确认提交（修改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进入模块添加想要查阅的资料名称，确认提交（修改）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华文仿宋" w:hAnsi="华文仿宋" w:eastAsia="华文仿宋" w:cs="华文仿宋"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 xml:space="preserve">步骤三 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查阅行政复议资料申请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页操作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1.点击【添加】①按钮，可以进行申请查阅资料新增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。如需重新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调整申请查阅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资料，可点击【删除】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②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所选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申请查阅资料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。</w:t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2453640"/>
            <wp:effectExtent l="0" t="0" r="0" b="0"/>
            <wp:docPr id="6" name="图片 6" descr="2进入模块添加想要查阅的资料名称，确认提交（修改2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进入模块添加想要查阅的资料名称，确认提交（修改2）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点击【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提交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】</w:t>
      </w:r>
      <w:r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040" cy="2453640"/>
            <wp:effectExtent l="0" t="0" r="0" b="0"/>
            <wp:docPr id="7" name="图片 7" descr="2进入模块添加想要查阅的资料名称，确认提交（修改3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进入模块添加想要查阅的资料名称，确认提交（修改3）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步骤四 提交成功。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跳转提交成功界面，系统提示“您提交的查阅行政复议资料申请已申请成功。”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eastAsia="zh-CN"/>
        </w:rPr>
        <w:drawing>
          <wp:inline distT="0" distB="0" distL="114300" distR="114300">
            <wp:extent cx="5266690" cy="2430780"/>
            <wp:effectExtent l="0" t="0" r="3810" b="7620"/>
            <wp:docPr id="5" name="图片 5" descr="5.完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.完成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 xml:space="preserve">步骤五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进度查询：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1.点击【我要查询】①-【涉税信息查询】②-【办税进度及结果信息查询】③功能菜单进入功能页面。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425065"/>
            <wp:effectExtent l="0" t="0" r="3810" b="635"/>
            <wp:docPr id="1" name="图片 1" descr="我要查询——办税进度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我要查询——办税进度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2.点击【查询】找到想要查询的记录。点击【进度详情】，可查看详细情况。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2425065"/>
            <wp:effectExtent l="0" t="0" r="3810" b="635"/>
            <wp:docPr id="4" name="图片 2" descr="查询办税进度及结果信息查询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查询办税进度及结果信息查询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步骤六 查看申请成功消息。首页-我的提醒-</w:t>
      </w:r>
      <w:r>
        <w:rPr>
          <w:rFonts w:hint="default" w:ascii="华文仿宋" w:hAnsi="华文仿宋" w:eastAsia="华文仿宋" w:cs="华文仿宋"/>
          <w:bCs/>
          <w:sz w:val="32"/>
          <w:szCs w:val="32"/>
          <w:lang w:val="en-US" w:eastAsia="zh-CN"/>
        </w:rPr>
        <w:t>查阅行政复议资料申请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成功消息提醒</w:t>
      </w:r>
    </w:p>
    <w:p>
      <w:pPr>
        <w:pStyle w:val="2"/>
        <w:ind w:left="0" w:leftChars="0" w:firstLine="0" w:firstLineChars="0"/>
        <w:rPr>
          <w:rFonts w:hint="default" w:ascii="华文仿宋" w:hAnsi="华文仿宋" w:eastAsia="华文仿宋" w:cs="华文仿宋"/>
          <w:bCs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bCs/>
          <w:sz w:val="32"/>
          <w:szCs w:val="32"/>
          <w:lang w:val="en-US" w:eastAsia="zh-CN"/>
        </w:rPr>
        <w:drawing>
          <wp:inline distT="0" distB="0" distL="114300" distR="114300">
            <wp:extent cx="5266690" cy="2427605"/>
            <wp:effectExtent l="0" t="0" r="6350" b="10795"/>
            <wp:docPr id="9" name="图片 9" descr="3我得提醒——温馨提示（修改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我得提醒——温馨提示（修改）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 w:ascii="华文仿宋" w:hAnsi="华文仿宋" w:eastAsia="华文仿宋" w:cs="华文仿宋"/>
          <w:bCs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bCs/>
          <w:sz w:val="32"/>
          <w:szCs w:val="32"/>
          <w:lang w:val="en-US" w:eastAsia="zh-CN"/>
        </w:rPr>
        <w:drawing>
          <wp:inline distT="0" distB="0" distL="114300" distR="114300">
            <wp:extent cx="5266690" cy="2438400"/>
            <wp:effectExtent l="0" t="0" r="6350" b="0"/>
            <wp:docPr id="11" name="图片 11" descr="4温馨提示（修改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温馨提示（修改）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rPr>
          <w:rFonts w:hint="default" w:ascii="华文仿宋" w:hAnsi="华文仿宋" w:eastAsia="华文仿宋" w:cs="华文仿宋"/>
          <w:bCs/>
          <w:sz w:val="32"/>
          <w:szCs w:val="32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3A4BD9"/>
    <w:multiLevelType w:val="singleLevel"/>
    <w:tmpl w:val="D23A4B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Dk1OTAzN2Q4MTVkNjMzZDQ1NGJjYWU5OGQ2YjUifQ=="/>
    <w:docVar w:name="KSO_WPS_MARK_KEY" w:val="94c06e64-75d5-4d75-9b5f-5e8fe41b0a2c"/>
  </w:docVars>
  <w:rsids>
    <w:rsidRoot w:val="00000000"/>
    <w:rsid w:val="0D921216"/>
    <w:rsid w:val="1723501D"/>
    <w:rsid w:val="1D281C86"/>
    <w:rsid w:val="34AD2791"/>
    <w:rsid w:val="4E6F410B"/>
    <w:rsid w:val="58D161D1"/>
    <w:rsid w:val="5F7CB151"/>
    <w:rsid w:val="64000591"/>
    <w:rsid w:val="68F25870"/>
    <w:rsid w:val="69066576"/>
    <w:rsid w:val="708D54CB"/>
    <w:rsid w:val="7A616BCF"/>
    <w:rsid w:val="7E3E4EC4"/>
    <w:rsid w:val="7F65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spacing w:line="360" w:lineRule="auto"/>
      <w:ind w:firstLine="883" w:firstLineChars="200"/>
    </w:pPr>
    <w:rPr>
      <w:rFonts w:ascii="Songti SC" w:hAnsi="Songti SC" w:eastAsia="宋体" w:cs="Songti SC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表格列标题"/>
    <w:basedOn w:val="9"/>
    <w:qFormat/>
    <w:uiPriority w:val="0"/>
    <w:pPr>
      <w:jc w:val="center"/>
    </w:pPr>
    <w:rPr>
      <w:rFonts w:ascii="Arial" w:hAnsi="Arial" w:cs="Arial"/>
      <w:b/>
      <w:sz w:val="18"/>
    </w:rPr>
  </w:style>
  <w:style w:type="paragraph" w:customStyle="1" w:styleId="9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0">
    <w:name w:val="表格文字 居中"/>
    <w:basedOn w:val="11"/>
    <w:qFormat/>
    <w:uiPriority w:val="0"/>
    <w:pPr>
      <w:jc w:val="center"/>
    </w:pPr>
    <w:rPr>
      <w:rFonts w:ascii="Arial" w:hAnsi="Arial" w:cs="Arial"/>
      <w:sz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2">
    <w:name w:val="表格文字 左对齐"/>
    <w:basedOn w:val="9"/>
    <w:qFormat/>
    <w:uiPriority w:val="0"/>
    <w:rPr>
      <w:rFonts w:ascii="Arial" w:hAnsi="Arial" w:cs="Arial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757</Characters>
  <Lines>0</Lines>
  <Paragraphs>0</Paragraphs>
  <TotalTime>0</TotalTime>
  <ScaleCrop>false</ScaleCrop>
  <LinksUpToDate>false</LinksUpToDate>
  <CharactersWithSpaces>763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jieme</dc:creator>
  <cp:lastModifiedBy>user</cp:lastModifiedBy>
  <dcterms:modified xsi:type="dcterms:W3CDTF">2024-05-22T09:48:31Z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22767C2CE867434BA9C3B9087BFC59D9_13</vt:lpwstr>
  </property>
</Properties>
</file>