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ascii="楷体" w:hAnsi="楷体" w:eastAsia="楷体" w:cs="楷体"/>
          <w:b/>
          <w:color w:val="000000"/>
          <w:kern w:val="0"/>
          <w:sz w:val="44"/>
          <w:szCs w:val="44"/>
          <w:lang w:bidi="ar"/>
        </w:rPr>
      </w:pPr>
      <w:r>
        <w:rPr>
          <w:rFonts w:hint="eastAsia" w:ascii="楷体" w:hAnsi="楷体" w:eastAsia="楷体" w:cs="楷体"/>
          <w:b/>
          <w:color w:val="000000"/>
          <w:kern w:val="0"/>
          <w:sz w:val="44"/>
          <w:szCs w:val="44"/>
          <w:lang w:bidi="ar"/>
        </w:rPr>
        <w:t>业务操作指引</w:t>
      </w:r>
    </w:p>
    <w:p>
      <w:pPr>
        <w:jc w:val="center"/>
        <w:rPr>
          <w:rFonts w:hint="eastAsia" w:ascii="楷体" w:hAnsi="楷体" w:eastAsia="楷体" w:cs="楷体"/>
          <w:b/>
          <w:color w:val="000000"/>
          <w:kern w:val="0"/>
          <w:sz w:val="44"/>
          <w:szCs w:val="44"/>
          <w:lang w:bidi="ar"/>
        </w:rPr>
      </w:pPr>
      <w:r>
        <w:rPr>
          <w:rFonts w:hint="eastAsia" w:ascii="楷体" w:hAnsi="楷体" w:eastAsia="楷体" w:cs="楷体"/>
          <w:b/>
          <w:color w:val="000000"/>
          <w:kern w:val="0"/>
          <w:sz w:val="44"/>
          <w:szCs w:val="44"/>
          <w:lang w:bidi="ar"/>
        </w:rPr>
        <w:t>100</w:t>
      </w:r>
      <w:r>
        <w:rPr>
          <w:rFonts w:hint="default" w:ascii="楷体" w:hAnsi="楷体" w:eastAsia="楷体" w:cs="楷体"/>
          <w:b/>
          <w:color w:val="000000"/>
          <w:kern w:val="0"/>
          <w:sz w:val="44"/>
          <w:szCs w:val="44"/>
          <w:lang w:bidi="ar"/>
        </w:rPr>
        <w:t>22</w:t>
      </w:r>
      <w:r>
        <w:rPr>
          <w:rFonts w:ascii="楷体" w:hAnsi="楷体" w:eastAsia="楷体" w:cs="楷体"/>
          <w:b/>
          <w:color w:val="000000"/>
          <w:kern w:val="0"/>
          <w:sz w:val="44"/>
          <w:szCs w:val="44"/>
          <w:lang w:bidi="ar"/>
        </w:rPr>
        <w:t xml:space="preserve"> </w:t>
      </w:r>
      <w:r>
        <w:rPr>
          <w:rFonts w:hint="eastAsia" w:ascii="楷体" w:hAnsi="楷体" w:eastAsia="楷体" w:cs="楷体"/>
          <w:b/>
          <w:color w:val="000000"/>
          <w:kern w:val="0"/>
          <w:sz w:val="44"/>
          <w:szCs w:val="44"/>
          <w:lang w:bidi="ar"/>
        </w:rPr>
        <w:t>跨境应税行为免征增值税报告</w:t>
      </w:r>
    </w:p>
    <w:p>
      <w:pPr>
        <w:pStyle w:val="2"/>
        <w:rPr>
          <w:rFonts w:hint="eastAsia"/>
        </w:rPr>
      </w:pPr>
    </w:p>
    <w:p>
      <w:pPr>
        <w:pStyle w:val="3"/>
        <w:ind w:firstLine="643" w:firstLineChars="200"/>
        <w:rPr>
          <w:sz w:val="32"/>
          <w:szCs w:val="32"/>
        </w:rPr>
      </w:pPr>
      <w:r>
        <w:rPr>
          <w:rFonts w:hint="eastAsia"/>
          <w:sz w:val="32"/>
          <w:szCs w:val="32"/>
        </w:rPr>
        <w:t>一、</w:t>
      </w:r>
      <w:r>
        <w:rPr>
          <w:sz w:val="32"/>
          <w:szCs w:val="32"/>
        </w:rPr>
        <w:t xml:space="preserve">业务概述 </w:t>
      </w:r>
    </w:p>
    <w:p>
      <w:pPr>
        <w:topLinePunct/>
        <w:spacing w:line="360" w:lineRule="auto"/>
        <w:ind w:firstLine="640" w:firstLineChars="200"/>
        <w:rPr>
          <w:rFonts w:hint="eastAsia" w:ascii="华文仿宋" w:hAnsi="华文仿宋" w:eastAsia="华文仿宋" w:cs="华文仿宋"/>
          <w:sz w:val="32"/>
          <w:szCs w:val="32"/>
        </w:rPr>
      </w:pPr>
      <w:r>
        <w:rPr>
          <w:rFonts w:hint="eastAsia" w:ascii="华文仿宋" w:hAnsi="华文仿宋" w:eastAsia="华文仿宋" w:cs="华文仿宋"/>
          <w:sz w:val="32"/>
          <w:szCs w:val="32"/>
        </w:rPr>
        <w:t>纳税人发生向境外单位销售服务或无形资产等跨境应税行为符合免征增值税条件的，应在首次享受免税的纳税申报期内或在各省、自治区、直辖市和计划单列市税务局规定的申报征期后的其他期限内，到主管税务机关办理跨境应税行为免征增值税报告事项。</w:t>
      </w:r>
    </w:p>
    <w:p>
      <w:pPr>
        <w:topLinePunct/>
        <w:spacing w:line="360" w:lineRule="auto"/>
        <w:ind w:firstLine="640" w:firstLineChars="200"/>
        <w:rPr>
          <w:rFonts w:hint="eastAsia" w:ascii="华文仿宋" w:hAnsi="华文仿宋" w:eastAsia="华文仿宋" w:cs="华文仿宋"/>
          <w:sz w:val="32"/>
          <w:szCs w:val="32"/>
        </w:rPr>
      </w:pPr>
      <w:r>
        <w:rPr>
          <w:rFonts w:hint="eastAsia" w:ascii="华文仿宋" w:hAnsi="华文仿宋" w:eastAsia="华文仿宋" w:cs="华文仿宋"/>
          <w:sz w:val="32"/>
          <w:szCs w:val="32"/>
        </w:rPr>
        <w:t>纳税人发生跨境应税行为免征增值税的，应单独核算跨境应税行为的销售额，准确计算不得抵扣的进项税额，其免税收入不得开具增值税专用发票。</w:t>
      </w:r>
    </w:p>
    <w:p>
      <w:pPr>
        <w:topLinePunct/>
        <w:spacing w:line="360" w:lineRule="auto"/>
        <w:ind w:firstLine="640" w:firstLineChars="200"/>
        <w:rPr>
          <w:rFonts w:hint="eastAsia" w:ascii="华文仿宋" w:hAnsi="华文仿宋" w:eastAsia="华文仿宋" w:cs="华文仿宋"/>
          <w:sz w:val="32"/>
          <w:szCs w:val="32"/>
        </w:rPr>
      </w:pPr>
      <w:r>
        <w:rPr>
          <w:rFonts w:hint="eastAsia" w:ascii="华文仿宋" w:hAnsi="华文仿宋" w:eastAsia="华文仿宋" w:cs="华文仿宋"/>
          <w:sz w:val="32"/>
          <w:szCs w:val="32"/>
        </w:rPr>
        <w:t>原签订的跨境销售服务或无形资产合同发生变更，或者跨境销售服务或无形资产的有关情况发生变化，变化后仍属于跨境应税行为免税范围的，纳税人应向主管税务机关</w:t>
      </w:r>
      <w:r>
        <w:rPr>
          <w:rFonts w:hint="default" w:ascii="华文仿宋" w:hAnsi="华文仿宋" w:eastAsia="华文仿宋" w:cs="华文仿宋"/>
          <w:sz w:val="32"/>
          <w:szCs w:val="32"/>
          <w:lang w:val="en-US"/>
        </w:rPr>
        <w:t>重新办理</w:t>
      </w:r>
      <w:r>
        <w:rPr>
          <w:rFonts w:hint="eastAsia" w:ascii="华文仿宋" w:hAnsi="华文仿宋" w:eastAsia="华文仿宋" w:cs="华文仿宋"/>
          <w:sz w:val="32"/>
          <w:szCs w:val="32"/>
        </w:rPr>
        <w:t>跨境应税行为免征增值税报告事项。</w:t>
      </w:r>
    </w:p>
    <w:p>
      <w:pPr>
        <w:topLinePunct/>
        <w:spacing w:line="360" w:lineRule="auto"/>
        <w:ind w:firstLine="640" w:firstLineChars="200"/>
        <w:rPr>
          <w:rFonts w:hint="eastAsia" w:ascii="华文仿宋" w:hAnsi="华文仿宋" w:eastAsia="华文仿宋" w:cs="华文仿宋"/>
          <w:sz w:val="32"/>
          <w:szCs w:val="32"/>
        </w:rPr>
      </w:pPr>
      <w:r>
        <w:rPr>
          <w:rFonts w:hint="eastAsia" w:ascii="华文仿宋" w:hAnsi="华文仿宋" w:eastAsia="华文仿宋" w:cs="华文仿宋"/>
          <w:sz w:val="32"/>
          <w:szCs w:val="32"/>
        </w:rPr>
        <w:t>纳税人发生国家税务总局公告2016年第29号 第二条第（二十）项所列应税行为的，应在首次享受免税的纳税申报期内或在各省、自治区、直辖市和计划单列市税务局规定的申报征期后的其他期限内，到主管税务机关办理跨境应税行为免税备案手续，同时提交以下备案材料：（一）已向办理增值税免抵退税或免退税的主管税务机关备案的《放弃适用增值税零税率声明》；（二）该项应税行为享受零税率到主管税务机关办理增值税免抵退税或免退税申报时需报送的材料和原始凭证。</w:t>
      </w:r>
    </w:p>
    <w:p>
      <w:pPr>
        <w:pStyle w:val="3"/>
        <w:ind w:firstLine="643" w:firstLineChars="200"/>
        <w:rPr>
          <w:rFonts w:hint="eastAsia"/>
          <w:sz w:val="32"/>
          <w:szCs w:val="32"/>
        </w:rPr>
      </w:pPr>
      <w:r>
        <w:rPr>
          <w:rFonts w:hint="eastAsia"/>
          <w:sz w:val="32"/>
          <w:szCs w:val="32"/>
        </w:rPr>
        <w:t>二、办理流程</w:t>
      </w:r>
    </w:p>
    <w:p>
      <w:pPr>
        <w:topLinePunct/>
        <w:spacing w:line="360" w:lineRule="auto"/>
        <w:ind w:firstLine="640" w:firstLineChars="200"/>
        <w:rPr>
          <w:rFonts w:hint="default" w:ascii="华文仿宋" w:hAnsi="华文仿宋" w:eastAsia="华文仿宋" w:cs="华文仿宋"/>
          <w:sz w:val="32"/>
          <w:szCs w:val="32"/>
        </w:rPr>
      </w:pPr>
      <w:r>
        <w:rPr>
          <w:rFonts w:hint="default" w:ascii="华文仿宋" w:hAnsi="华文仿宋" w:eastAsia="华文仿宋" w:cs="华文仿宋"/>
          <w:sz w:val="32"/>
          <w:szCs w:val="32"/>
        </w:rPr>
        <w:t>1、启动</w:t>
      </w:r>
    </w:p>
    <w:p>
      <w:pPr>
        <w:topLinePunct/>
        <w:spacing w:line="360" w:lineRule="auto"/>
        <w:ind w:firstLine="640" w:firstLineChars="200"/>
        <w:rPr>
          <w:rFonts w:hint="default" w:ascii="华文仿宋" w:hAnsi="华文仿宋" w:eastAsia="华文仿宋" w:cs="华文仿宋"/>
          <w:sz w:val="32"/>
          <w:szCs w:val="32"/>
        </w:rPr>
      </w:pPr>
      <w:r>
        <w:rPr>
          <w:rFonts w:hint="default" w:ascii="华文仿宋" w:hAnsi="华文仿宋" w:eastAsia="华文仿宋" w:cs="华文仿宋"/>
          <w:sz w:val="32"/>
          <w:szCs w:val="32"/>
        </w:rPr>
        <w:t>纳税人通过电子税务局、APP、自助办税终端、办税服务厅申请办理的，根据纳税人填报的《跨境应税行为免税备案表》及提交的相关报送资料，经系统智能处理规则及税务人员审核通过后，予以备案，自动办结该事项。</w:t>
      </w:r>
    </w:p>
    <w:p>
      <w:pPr>
        <w:topLinePunct/>
        <w:spacing w:line="360" w:lineRule="auto"/>
        <w:ind w:firstLine="640" w:firstLineChars="200"/>
        <w:rPr>
          <w:rFonts w:hint="default" w:ascii="华文仿宋" w:hAnsi="华文仿宋" w:eastAsia="华文仿宋" w:cs="华文仿宋"/>
          <w:sz w:val="32"/>
          <w:szCs w:val="32"/>
        </w:rPr>
      </w:pPr>
      <w:r>
        <w:rPr>
          <w:rFonts w:hint="default" w:ascii="华文仿宋" w:hAnsi="华文仿宋" w:eastAsia="华文仿宋" w:cs="华文仿宋"/>
          <w:sz w:val="32"/>
          <w:szCs w:val="32"/>
        </w:rPr>
        <w:t>2、填报确认</w:t>
      </w:r>
    </w:p>
    <w:p>
      <w:pPr>
        <w:topLinePunct/>
        <w:spacing w:line="360" w:lineRule="auto"/>
        <w:ind w:firstLine="640" w:firstLineChars="200"/>
        <w:rPr>
          <w:rFonts w:hint="default" w:ascii="华文仿宋" w:hAnsi="华文仿宋" w:eastAsia="华文仿宋" w:cs="华文仿宋"/>
          <w:sz w:val="32"/>
          <w:szCs w:val="32"/>
        </w:rPr>
      </w:pPr>
      <w:r>
        <w:rPr>
          <w:rFonts w:hint="default" w:ascii="华文仿宋" w:hAnsi="华文仿宋" w:eastAsia="华文仿宋" w:cs="华文仿宋"/>
          <w:sz w:val="32"/>
          <w:szCs w:val="32"/>
        </w:rPr>
        <w:t>纳税人通过电子税务局、APP、自助办税终端申请办理的，经过系统智能处理规则校验审核后，如出现以下情况，则需要纳税人补充材料或不予受理。①如经过智能处理规则校验审核发现纳税人选择的“跨境行为名称”非“为出口货物提供的邮政服务、收派服务、保险服务及符合零税率政策但适用简易计税方法或声明放弃适用零税率选择免税的应税行为”时，要求纳税人必须提交或上传跨境销售服务或无形资产的合同复印件。因此需要传递回纳税人端，纳税人补充完毕后通过智能处理规则校验审核，并交由税务人端审批办结。②如纳税人状态为正常、不属于跨区域税源登记、课征主体为单位纳税人的，智能处理规则校验通过，如不符合以上情况，智能处理规则会阻断并终止办理本事项。以上情况，系统会出具《税务事项通知书》（不予受理通知）传递给纳税人端。则纳税人需要按照系统提示信息办理本事项。</w:t>
      </w:r>
    </w:p>
    <w:p>
      <w:pPr>
        <w:topLinePunct/>
        <w:spacing w:line="360" w:lineRule="auto"/>
        <w:ind w:firstLine="640" w:firstLineChars="200"/>
        <w:rPr>
          <w:rFonts w:hint="default" w:ascii="华文仿宋" w:hAnsi="华文仿宋" w:eastAsia="华文仿宋" w:cs="华文仿宋"/>
          <w:sz w:val="32"/>
          <w:szCs w:val="32"/>
          <w:lang w:eastAsia="zh-CN"/>
        </w:rPr>
      </w:pPr>
      <w:r>
        <w:rPr>
          <w:rFonts w:hint="default" w:ascii="华文仿宋" w:hAnsi="华文仿宋" w:eastAsia="华文仿宋" w:cs="华文仿宋"/>
          <w:sz w:val="32"/>
          <w:szCs w:val="32"/>
          <w:lang w:eastAsia="zh-CN"/>
        </w:rPr>
        <w:t>3、反馈</w:t>
      </w:r>
    </w:p>
    <w:p>
      <w:pPr>
        <w:topLinePunct/>
        <w:spacing w:line="360" w:lineRule="auto"/>
        <w:ind w:firstLine="640" w:firstLineChars="200"/>
        <w:rPr>
          <w:rFonts w:hint="default" w:ascii="华文仿宋" w:hAnsi="华文仿宋" w:eastAsia="华文仿宋" w:cs="华文仿宋"/>
          <w:sz w:val="32"/>
          <w:szCs w:val="32"/>
          <w:lang w:eastAsia="zh-CN"/>
        </w:rPr>
      </w:pPr>
      <w:r>
        <w:rPr>
          <w:rFonts w:hint="default" w:ascii="华文仿宋" w:hAnsi="华文仿宋" w:eastAsia="华文仿宋" w:cs="华文仿宋"/>
          <w:sz w:val="32"/>
          <w:szCs w:val="32"/>
          <w:lang w:eastAsia="zh-CN"/>
        </w:rPr>
        <w:t>纳税人</w:t>
      </w:r>
      <w:r>
        <w:rPr>
          <w:rFonts w:hint="default" w:ascii="华文仿宋" w:hAnsi="华文仿宋" w:eastAsia="华文仿宋" w:cs="华文仿宋"/>
          <w:sz w:val="32"/>
          <w:szCs w:val="32"/>
          <w:lang w:val="en-US" w:eastAsia="zh-CN"/>
        </w:rPr>
        <w:t>登录电子</w:t>
      </w:r>
      <w:r>
        <w:rPr>
          <w:rFonts w:hint="default" w:ascii="华文仿宋" w:hAnsi="华文仿宋" w:eastAsia="华文仿宋" w:cs="华文仿宋"/>
          <w:sz w:val="32"/>
          <w:szCs w:val="32"/>
          <w:lang w:eastAsia="zh-CN"/>
        </w:rPr>
        <w:t>税务局，系统自动向纳税人端进行办结事项的反馈。</w:t>
      </w:r>
    </w:p>
    <w:p>
      <w:pPr>
        <w:topLinePunct/>
        <w:spacing w:line="360" w:lineRule="auto"/>
        <w:ind w:firstLine="640" w:firstLineChars="200"/>
        <w:rPr>
          <w:rFonts w:hint="eastAsia"/>
        </w:rPr>
      </w:pPr>
      <w:r>
        <w:rPr>
          <w:rFonts w:hint="default" w:ascii="华文仿宋" w:hAnsi="华文仿宋" w:eastAsia="华文仿宋" w:cs="华文仿宋"/>
          <w:sz w:val="32"/>
          <w:szCs w:val="32"/>
          <w:lang w:eastAsia="zh-CN"/>
        </w:rPr>
        <w:t>税务人登录电子税务局税务人端，查看本事项办结情况。</w:t>
      </w:r>
    </w:p>
    <w:p>
      <w:pPr>
        <w:pStyle w:val="3"/>
        <w:ind w:firstLine="643" w:firstLineChars="200"/>
        <w:rPr>
          <w:rFonts w:hint="eastAsia"/>
          <w:sz w:val="32"/>
          <w:szCs w:val="32"/>
          <w:highlight w:val="none"/>
        </w:rPr>
      </w:pPr>
      <w:r>
        <w:rPr>
          <w:rFonts w:hint="eastAsia"/>
          <w:sz w:val="32"/>
          <w:szCs w:val="32"/>
          <w:highlight w:val="none"/>
          <w:lang w:val="en-US" w:eastAsia="zh-CN"/>
        </w:rPr>
        <w:t>三</w:t>
      </w:r>
      <w:r>
        <w:rPr>
          <w:rFonts w:hint="eastAsia"/>
          <w:sz w:val="32"/>
          <w:szCs w:val="32"/>
          <w:highlight w:val="none"/>
        </w:rPr>
        <w:t>、功能路径</w:t>
      </w:r>
    </w:p>
    <w:p>
      <w:pPr>
        <w:ind w:firstLine="640" w:firstLineChars="200"/>
        <w:rPr>
          <w:rFonts w:hint="eastAsia" w:ascii="华文仿宋" w:hAnsi="华文仿宋" w:eastAsia="华文仿宋" w:cs="华文仿宋"/>
          <w:bCs/>
          <w:sz w:val="32"/>
          <w:szCs w:val="32"/>
        </w:rPr>
      </w:pPr>
      <w:r>
        <w:rPr>
          <w:rFonts w:hint="eastAsia" w:ascii="华文仿宋" w:hAnsi="华文仿宋" w:eastAsia="华文仿宋" w:cs="华文仿宋"/>
          <w:bCs/>
          <w:sz w:val="32"/>
          <w:szCs w:val="32"/>
        </w:rPr>
        <w:t>1.我要办税-</w:t>
      </w:r>
      <w:r>
        <w:rPr>
          <w:rFonts w:hint="eastAsia" w:ascii="华文仿宋" w:hAnsi="华文仿宋" w:eastAsia="华文仿宋" w:cs="华文仿宋"/>
          <w:bCs/>
          <w:sz w:val="32"/>
          <w:szCs w:val="32"/>
          <w:lang w:val="en-US" w:eastAsia="zh-Hans"/>
        </w:rPr>
        <w:t>税收减免</w:t>
      </w:r>
      <w:r>
        <w:rPr>
          <w:rFonts w:hint="eastAsia" w:ascii="华文仿宋" w:hAnsi="华文仿宋" w:eastAsia="华文仿宋" w:cs="华文仿宋"/>
          <w:bCs/>
          <w:sz w:val="32"/>
          <w:szCs w:val="32"/>
        </w:rPr>
        <w:t>-跨境应税行为免征增值税报告。</w:t>
      </w:r>
    </w:p>
    <w:p>
      <w:pPr>
        <w:ind w:firstLine="640" w:firstLineChars="200"/>
        <w:rPr>
          <w:rFonts w:hint="eastAsia" w:ascii="华文仿宋" w:hAnsi="华文仿宋" w:eastAsia="华文仿宋" w:cs="华文仿宋"/>
          <w:bCs/>
          <w:sz w:val="32"/>
          <w:szCs w:val="32"/>
        </w:rPr>
      </w:pPr>
      <w:r>
        <w:rPr>
          <w:rFonts w:ascii="仿宋" w:hAnsi="仿宋" w:eastAsia="仿宋" w:cs="华文仿宋"/>
          <w:bCs/>
          <w:sz w:val="32"/>
          <w:szCs w:val="32"/>
        </w:rPr>
        <w:t>2</w:t>
      </w:r>
      <w:r>
        <w:rPr>
          <w:rFonts w:hint="eastAsia" w:ascii="仿宋" w:hAnsi="仿宋" w:eastAsia="仿宋" w:cs="华文仿宋"/>
          <w:bCs/>
          <w:sz w:val="32"/>
          <w:szCs w:val="32"/>
        </w:rPr>
        <w:t>.通过首页搜索栏输入关键字查找出的“</w:t>
      </w:r>
      <w:r>
        <w:rPr>
          <w:rFonts w:hint="eastAsia" w:ascii="华文仿宋" w:hAnsi="华文仿宋" w:eastAsia="华文仿宋" w:cs="华文仿宋"/>
          <w:bCs/>
          <w:sz w:val="32"/>
          <w:szCs w:val="32"/>
        </w:rPr>
        <w:t>跨境应税行为免征增值税报告</w:t>
      </w:r>
      <w:r>
        <w:rPr>
          <w:rFonts w:hint="eastAsia" w:ascii="仿宋" w:hAnsi="仿宋" w:eastAsia="仿宋" w:cs="华文仿宋"/>
          <w:bCs/>
          <w:sz w:val="32"/>
          <w:szCs w:val="32"/>
        </w:rPr>
        <w:t>”进入。</w:t>
      </w:r>
    </w:p>
    <w:p>
      <w:pPr>
        <w:pStyle w:val="3"/>
        <w:ind w:firstLine="643" w:firstLineChars="200"/>
        <w:rPr>
          <w:rFonts w:hint="eastAsia"/>
          <w:sz w:val="32"/>
          <w:szCs w:val="32"/>
          <w:highlight w:val="none"/>
          <w:lang w:eastAsia="zh-Hans"/>
        </w:rPr>
      </w:pPr>
      <w:r>
        <w:rPr>
          <w:rFonts w:hint="eastAsia"/>
          <w:sz w:val="32"/>
          <w:szCs w:val="32"/>
          <w:highlight w:val="none"/>
          <w:lang w:val="en-US" w:eastAsia="zh-CN"/>
        </w:rPr>
        <w:t>四</w:t>
      </w:r>
      <w:r>
        <w:rPr>
          <w:rFonts w:hint="eastAsia"/>
          <w:sz w:val="32"/>
          <w:szCs w:val="32"/>
          <w:highlight w:val="none"/>
        </w:rPr>
        <w:t>、</w:t>
      </w:r>
      <w:r>
        <w:rPr>
          <w:rFonts w:hint="eastAsia"/>
          <w:sz w:val="32"/>
          <w:szCs w:val="32"/>
          <w:highlight w:val="none"/>
          <w:lang w:eastAsia="zh-Hans"/>
        </w:rPr>
        <w:t>操作步骤</w:t>
      </w:r>
    </w:p>
    <w:p>
      <w:pPr>
        <w:numPr>
          <w:ilvl w:val="0"/>
          <w:numId w:val="1"/>
        </w:numPr>
        <w:ind w:left="641" w:firstLine="0"/>
        <w:rPr>
          <w:rFonts w:hint="default" w:ascii="华文仿宋" w:hAnsi="华文仿宋" w:eastAsia="华文仿宋" w:cs="华文仿宋"/>
          <w:sz w:val="32"/>
          <w:szCs w:val="32"/>
          <w:lang w:val="en-US" w:eastAsia="zh-CN"/>
        </w:rPr>
      </w:pPr>
      <w:r>
        <w:rPr>
          <w:rFonts w:hint="eastAsia" w:ascii="仿宋_GB2312" w:hAnsi="仿宋_GB2312" w:eastAsia="仿宋_GB2312" w:cs="仿宋_GB2312"/>
          <w:sz w:val="32"/>
          <w:szCs w:val="32"/>
        </w:rPr>
        <w:t>登录新电子税局后，点击</w:t>
      </w:r>
      <w:r>
        <w:rPr>
          <w:rFonts w:hint="eastAsia" w:ascii="仿宋_GB2312" w:hAnsi="仿宋_GB2312" w:eastAsia="仿宋_GB2312" w:cs="仿宋_GB2312"/>
          <w:sz w:val="32"/>
          <w:szCs w:val="32"/>
          <w:lang w:eastAsia="zh-CN"/>
        </w:rPr>
        <w:t>【</w:t>
      </w:r>
      <w:r>
        <w:rPr>
          <w:rFonts w:hint="eastAsia" w:ascii="华文仿宋" w:hAnsi="华文仿宋" w:eastAsia="华文仿宋" w:cs="华文仿宋"/>
          <w:bCs/>
          <w:sz w:val="32"/>
          <w:szCs w:val="32"/>
        </w:rPr>
        <w:t>我要办税</w:t>
      </w:r>
      <w:r>
        <w:rPr>
          <w:rFonts w:hint="eastAsia" w:ascii="仿宋_GB2312" w:hAnsi="仿宋_GB2312" w:eastAsia="仿宋_GB2312" w:cs="仿宋_GB2312"/>
          <w:sz w:val="32"/>
          <w:szCs w:val="32"/>
          <w:lang w:eastAsia="zh-CN"/>
        </w:rPr>
        <w:t>】</w:t>
      </w:r>
      <w:r>
        <w:rPr>
          <w:rFonts w:hint="eastAsia" w:ascii="华文仿宋" w:hAnsi="华文仿宋" w:eastAsia="华文仿宋" w:cs="华文仿宋"/>
          <w:bCs/>
          <w:sz w:val="32"/>
          <w:szCs w:val="32"/>
        </w:rPr>
        <w:t>-</w:t>
      </w:r>
      <w:r>
        <w:rPr>
          <w:rFonts w:hint="eastAsia" w:ascii="华文仿宋" w:hAnsi="华文仿宋" w:eastAsia="华文仿宋" w:cs="华文仿宋"/>
          <w:bCs/>
          <w:sz w:val="32"/>
          <w:szCs w:val="32"/>
          <w:lang w:eastAsia="zh-CN"/>
        </w:rPr>
        <w:t>【</w:t>
      </w:r>
      <w:r>
        <w:rPr>
          <w:rFonts w:hint="eastAsia" w:ascii="华文仿宋" w:hAnsi="华文仿宋" w:eastAsia="华文仿宋" w:cs="华文仿宋"/>
          <w:bCs/>
          <w:sz w:val="32"/>
          <w:szCs w:val="32"/>
          <w:lang w:val="en-US" w:eastAsia="zh-Hans"/>
        </w:rPr>
        <w:t>税收减免</w:t>
      </w:r>
      <w:r>
        <w:rPr>
          <w:rFonts w:hint="eastAsia" w:ascii="华文仿宋" w:hAnsi="华文仿宋" w:eastAsia="华文仿宋" w:cs="华文仿宋"/>
          <w:bCs/>
          <w:sz w:val="32"/>
          <w:szCs w:val="32"/>
          <w:lang w:eastAsia="zh-CN"/>
        </w:rPr>
        <w:t>】</w:t>
      </w:r>
      <w:r>
        <w:rPr>
          <w:rFonts w:hint="eastAsia" w:ascii="华文仿宋" w:hAnsi="华文仿宋" w:eastAsia="华文仿宋" w:cs="华文仿宋"/>
          <w:bCs/>
          <w:sz w:val="32"/>
          <w:szCs w:val="32"/>
        </w:rPr>
        <w:t>-</w:t>
      </w:r>
      <w:r>
        <w:rPr>
          <w:rFonts w:hint="eastAsia" w:ascii="华文仿宋" w:hAnsi="华文仿宋" w:eastAsia="华文仿宋" w:cs="华文仿宋"/>
          <w:bCs/>
          <w:sz w:val="32"/>
          <w:szCs w:val="32"/>
          <w:lang w:eastAsia="zh-CN"/>
        </w:rPr>
        <w:t>【</w:t>
      </w:r>
      <w:r>
        <w:rPr>
          <w:rFonts w:hint="eastAsia" w:ascii="华文仿宋" w:hAnsi="华文仿宋" w:eastAsia="华文仿宋" w:cs="华文仿宋"/>
          <w:bCs/>
          <w:sz w:val="32"/>
          <w:szCs w:val="32"/>
        </w:rPr>
        <w:t>跨境应税行为免征增值税报告</w:t>
      </w:r>
      <w:r>
        <w:rPr>
          <w:rFonts w:hint="eastAsia" w:ascii="华文仿宋" w:hAnsi="华文仿宋" w:eastAsia="华文仿宋" w:cs="华文仿宋"/>
          <w:bCs/>
          <w:sz w:val="32"/>
          <w:szCs w:val="32"/>
          <w:lang w:eastAsia="zh-CN"/>
        </w:rPr>
        <w:t>】</w:t>
      </w:r>
      <w:r>
        <w:rPr>
          <w:rFonts w:hint="eastAsia" w:ascii="仿宋_GB2312" w:hAnsi="仿宋_GB2312" w:eastAsia="仿宋_GB2312" w:cs="仿宋_GB2312"/>
          <w:sz w:val="32"/>
          <w:szCs w:val="32"/>
        </w:rPr>
        <w:t>功能菜单。</w:t>
      </w:r>
    </w:p>
    <w:p>
      <w:pPr>
        <w:pStyle w:val="2"/>
        <w:rPr>
          <w:rFonts w:hint="default" w:ascii="华文仿宋" w:hAnsi="华文仿宋" w:eastAsia="华文仿宋" w:cs="华文仿宋"/>
          <w:sz w:val="32"/>
          <w:szCs w:val="32"/>
          <w:lang w:val="en-US" w:eastAsia="zh-CN"/>
        </w:rPr>
      </w:pPr>
      <w:r>
        <w:rPr>
          <w:rFonts w:hint="default" w:ascii="华文仿宋" w:hAnsi="华文仿宋" w:eastAsia="华文仿宋" w:cs="华文仿宋"/>
          <w:sz w:val="32"/>
          <w:szCs w:val="32"/>
          <w:lang w:val="en-US" w:eastAsia="zh-CN"/>
        </w:rPr>
        <w:drawing>
          <wp:inline distT="0" distB="0" distL="114300" distR="114300">
            <wp:extent cx="5278120" cy="2136140"/>
            <wp:effectExtent l="0" t="0" r="17780" b="16510"/>
            <wp:docPr id="1" name="图片 1" descr="跨境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跨境1"/>
                    <pic:cNvPicPr>
                      <a:picLocks noChangeAspect="1"/>
                    </pic:cNvPicPr>
                  </pic:nvPicPr>
                  <pic:blipFill>
                    <a:blip r:embed="rId4"/>
                    <a:stretch>
                      <a:fillRect/>
                    </a:stretch>
                  </pic:blipFill>
                  <pic:spPr>
                    <a:xfrm>
                      <a:off x="0" y="0"/>
                      <a:ext cx="5278120" cy="2136140"/>
                    </a:xfrm>
                    <a:prstGeom prst="rect">
                      <a:avLst/>
                    </a:prstGeom>
                  </pic:spPr>
                </pic:pic>
              </a:graphicData>
            </a:graphic>
          </wp:inline>
        </w:drawing>
      </w:r>
    </w:p>
    <w:p>
      <w:pPr>
        <w:numPr>
          <w:ilvl w:val="0"/>
          <w:numId w:val="1"/>
        </w:numPr>
        <w:ind w:left="641" w:firstLine="0"/>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rPr>
        <w:t>纳税人选择跨境应税行为名称后，根据规则驱动，匹配到需要上传的附列资料。纳税人根据实际情况填写基本信息、合同信息，并上传附列资料。</w:t>
      </w:r>
    </w:p>
    <w:p>
      <w:pPr>
        <w:pStyle w:val="2"/>
        <w:rPr>
          <w:rFonts w:hint="eastAsia" w:eastAsia="宋体"/>
          <w:lang w:eastAsia="zh-CN"/>
        </w:rPr>
      </w:pPr>
      <w:r>
        <w:rPr>
          <w:rFonts w:hint="eastAsia" w:eastAsia="宋体"/>
          <w:lang w:eastAsia="zh-CN"/>
        </w:rPr>
        <w:drawing>
          <wp:inline distT="0" distB="0" distL="114300" distR="114300">
            <wp:extent cx="5263515" cy="2472055"/>
            <wp:effectExtent l="0" t="0" r="19685" b="17145"/>
            <wp:docPr id="2" name="图片 2" descr="/Users/zzh/Library/Containers/com.kingsoft.wpsoffice.mac/Data/tmp/photoeditapp/20240510190253/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zzh/Library/Containers/com.kingsoft.wpsoffice.mac/Data/tmp/photoeditapp/20240510190253/temp.pngtemp"/>
                    <pic:cNvPicPr>
                      <a:picLocks noChangeAspect="1"/>
                    </pic:cNvPicPr>
                  </pic:nvPicPr>
                  <pic:blipFill>
                    <a:blip r:embed="rId5"/>
                    <a:stretch>
                      <a:fillRect/>
                    </a:stretch>
                  </pic:blipFill>
                  <pic:spPr>
                    <a:xfrm>
                      <a:off x="0" y="0"/>
                      <a:ext cx="5263515" cy="2472055"/>
                    </a:xfrm>
                    <a:prstGeom prst="rect">
                      <a:avLst/>
                    </a:prstGeom>
                  </pic:spPr>
                </pic:pic>
              </a:graphicData>
            </a:graphic>
          </wp:inline>
        </w:drawing>
      </w:r>
    </w:p>
    <w:p>
      <w:pPr>
        <w:pStyle w:val="2"/>
        <w:numPr>
          <w:ilvl w:val="0"/>
          <w:numId w:val="2"/>
        </w:numPr>
        <w:spacing w:line="360" w:lineRule="auto"/>
        <w:ind w:leftChars="0" w:firstLine="640" w:firstLineChars="200"/>
        <w:rPr>
          <w:rFonts w:hint="eastAsia" w:ascii="华文仿宋" w:hAnsi="华文仿宋" w:eastAsia="华文仿宋" w:cs="华文仿宋"/>
          <w:b w:val="0"/>
          <w:bCs w:val="0"/>
          <w:kern w:val="2"/>
          <w:sz w:val="32"/>
          <w:szCs w:val="32"/>
          <w:lang w:val="en-US" w:eastAsia="zh-CN" w:bidi="ar-SA"/>
        </w:rPr>
      </w:pPr>
      <w:r>
        <w:rPr>
          <w:rFonts w:hint="eastAsia" w:ascii="华文仿宋" w:hAnsi="华文仿宋" w:eastAsia="华文仿宋" w:cs="华文仿宋"/>
          <w:b w:val="0"/>
          <w:bCs w:val="0"/>
          <w:kern w:val="2"/>
          <w:sz w:val="32"/>
          <w:szCs w:val="32"/>
          <w:lang w:val="en-US" w:eastAsia="zh-CN" w:bidi="ar-SA"/>
        </w:rPr>
        <w:t>若纳税人需要查看往期报告，可点击右上角我的历史报告进行查看。</w:t>
      </w:r>
    </w:p>
    <w:p>
      <w:pPr>
        <w:numPr>
          <w:ilvl w:val="0"/>
          <w:numId w:val="0"/>
        </w:numPr>
        <w:rPr>
          <w:rFonts w:hint="eastAsia"/>
          <w:lang w:val="en-US" w:eastAsia="zh-CN"/>
        </w:rPr>
      </w:pPr>
    </w:p>
    <w:p>
      <w:pPr>
        <w:pStyle w:val="2"/>
        <w:jc w:val="center"/>
        <w:rPr>
          <w:rFonts w:hint="default"/>
          <w:lang w:val="en-US" w:eastAsia="zh-CN"/>
        </w:rPr>
      </w:pPr>
      <w:r>
        <w:rPr>
          <w:rFonts w:hint="default"/>
          <w:lang w:val="en-US" w:eastAsia="zh-CN"/>
        </w:rPr>
        <w:drawing>
          <wp:inline distT="0" distB="0" distL="114300" distR="114300">
            <wp:extent cx="5502910" cy="2571750"/>
            <wp:effectExtent l="0" t="0" r="8890" b="19050"/>
            <wp:docPr id="4" name="图片 4" descr="/Users/zzh/Library/Containers/com.kingsoft.wpsoffice.mac/Data/tmp/photoeditapp/20240510190338/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sers/zzh/Library/Containers/com.kingsoft.wpsoffice.mac/Data/tmp/photoeditapp/20240510190338/temp.pngtemp"/>
                    <pic:cNvPicPr>
                      <a:picLocks noChangeAspect="1"/>
                    </pic:cNvPicPr>
                  </pic:nvPicPr>
                  <pic:blipFill>
                    <a:blip r:embed="rId6"/>
                    <a:stretch>
                      <a:fillRect/>
                    </a:stretch>
                  </pic:blipFill>
                  <pic:spPr>
                    <a:xfrm>
                      <a:off x="0" y="0"/>
                      <a:ext cx="5502910" cy="257175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5506085" cy="2161540"/>
            <wp:effectExtent l="0" t="0" r="18415" b="10160"/>
            <wp:docPr id="5" name="图片 5" descr="跨境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跨境4"/>
                    <pic:cNvPicPr>
                      <a:picLocks noChangeAspect="1"/>
                    </pic:cNvPicPr>
                  </pic:nvPicPr>
                  <pic:blipFill>
                    <a:blip r:embed="rId7"/>
                    <a:stretch>
                      <a:fillRect/>
                    </a:stretch>
                  </pic:blipFill>
                  <pic:spPr>
                    <a:xfrm>
                      <a:off x="0" y="0"/>
                      <a:ext cx="5506085" cy="2161540"/>
                    </a:xfrm>
                    <a:prstGeom prst="rect">
                      <a:avLst/>
                    </a:prstGeom>
                  </pic:spPr>
                </pic:pic>
              </a:graphicData>
            </a:graphic>
          </wp:inline>
        </w:drawing>
      </w:r>
    </w:p>
    <w:p>
      <w:pPr>
        <w:numPr>
          <w:ilvl w:val="0"/>
          <w:numId w:val="0"/>
        </w:numPr>
        <w:ind w:left="710" w:leftChars="0"/>
        <w:rPr>
          <w:rFonts w:hint="eastAsia" w:ascii="华文仿宋" w:hAnsi="华文仿宋" w:eastAsia="华文仿宋" w:cs="华文仿宋"/>
          <w:b w:val="0"/>
          <w:bCs w:val="0"/>
          <w:sz w:val="32"/>
          <w:szCs w:val="32"/>
          <w:lang w:val="en-US" w:eastAsia="zh-CN"/>
        </w:rPr>
      </w:pPr>
      <w:r>
        <w:rPr>
          <w:rFonts w:hint="eastAsia" w:ascii="华文仿宋" w:hAnsi="华文仿宋" w:eastAsia="华文仿宋" w:cs="华文仿宋"/>
          <w:b w:val="0"/>
          <w:bCs w:val="0"/>
          <w:sz w:val="32"/>
          <w:szCs w:val="32"/>
          <w:lang w:val="en-US" w:eastAsia="zh-CN"/>
        </w:rPr>
        <w:t>4、</w:t>
      </w:r>
      <w:r>
        <w:rPr>
          <w:rFonts w:hint="eastAsia" w:ascii="华文仿宋" w:hAnsi="华文仿宋" w:eastAsia="华文仿宋" w:cs="华文仿宋"/>
          <w:sz w:val="32"/>
          <w:szCs w:val="32"/>
        </w:rPr>
        <w:t>纳税人确认</w:t>
      </w:r>
      <w:r>
        <w:rPr>
          <w:rFonts w:hint="eastAsia" w:ascii="华文仿宋" w:hAnsi="华文仿宋" w:eastAsia="华文仿宋" w:cs="华文仿宋"/>
          <w:sz w:val="32"/>
          <w:szCs w:val="32"/>
          <w:lang w:val="en-US" w:eastAsia="zh-CN"/>
        </w:rPr>
        <w:t>所填信息</w:t>
      </w:r>
      <w:r>
        <w:rPr>
          <w:rFonts w:hint="eastAsia" w:ascii="华文仿宋" w:hAnsi="华文仿宋" w:eastAsia="华文仿宋" w:cs="华文仿宋"/>
          <w:sz w:val="32"/>
          <w:szCs w:val="32"/>
        </w:rPr>
        <w:t>无误</w:t>
      </w:r>
      <w:r>
        <w:rPr>
          <w:rFonts w:hint="eastAsia" w:ascii="华文仿宋" w:hAnsi="华文仿宋" w:eastAsia="华文仿宋" w:cs="华文仿宋"/>
          <w:sz w:val="32"/>
          <w:szCs w:val="32"/>
          <w:lang w:val="en-US" w:eastAsia="zh-CN"/>
        </w:rPr>
        <w:t>并上传</w:t>
      </w:r>
      <w:r>
        <w:rPr>
          <w:rFonts w:hint="eastAsia" w:ascii="仿宋_GB2312" w:hAnsi="仿宋_GB2312" w:eastAsia="仿宋_GB2312" w:cs="仿宋_GB2312"/>
          <w:color w:val="000000" w:themeColor="text1"/>
          <w:kern w:val="2"/>
          <w:sz w:val="32"/>
          <w:szCs w:val="32"/>
          <w:lang w:val="en-US" w:eastAsia="zh-Hans" w:bidi="ar-SA"/>
          <w14:textFill>
            <w14:solidFill>
              <w14:schemeClr w14:val="tx1"/>
            </w14:solidFill>
          </w14:textFill>
        </w:rPr>
        <w:t>附列资料后</w:t>
      </w:r>
      <w:r>
        <w:rPr>
          <w:rFonts w:hint="eastAsia" w:ascii="华文仿宋" w:hAnsi="华文仿宋" w:eastAsia="华文仿宋" w:cs="华文仿宋"/>
          <w:b w:val="0"/>
          <w:bCs w:val="0"/>
          <w:sz w:val="32"/>
          <w:szCs w:val="32"/>
          <w:lang w:val="en-US" w:eastAsia="zh-CN"/>
        </w:rPr>
        <w:t>，点击“提交”按钮，提交到核心，页面显示申请成功。</w:t>
      </w:r>
    </w:p>
    <w:p>
      <w:pPr>
        <w:numPr>
          <w:ilvl w:val="0"/>
          <w:numId w:val="0"/>
        </w:numPr>
        <w:rPr>
          <w:rFonts w:hint="eastAsia" w:eastAsia="华文仿宋"/>
          <w:lang w:eastAsia="zh-CN"/>
        </w:rPr>
      </w:pPr>
      <w:r>
        <w:drawing>
          <wp:inline distT="0" distB="0" distL="114300" distR="114300">
            <wp:extent cx="5520690" cy="2522855"/>
            <wp:effectExtent l="0" t="0" r="3810" b="1079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8"/>
                    <a:stretch>
                      <a:fillRect/>
                    </a:stretch>
                  </pic:blipFill>
                  <pic:spPr>
                    <a:xfrm>
                      <a:off x="0" y="0"/>
                      <a:ext cx="5520690" cy="2522855"/>
                    </a:xfrm>
                    <a:prstGeom prst="rect">
                      <a:avLst/>
                    </a:prstGeom>
                    <a:noFill/>
                    <a:ln>
                      <a:noFill/>
                    </a:ln>
                  </pic:spPr>
                </pic:pic>
              </a:graphicData>
            </a:graphic>
          </wp:inline>
        </w:drawing>
      </w:r>
    </w:p>
    <w:p>
      <w:pPr>
        <w:numPr>
          <w:ilvl w:val="0"/>
          <w:numId w:val="0"/>
        </w:numPr>
        <w:ind w:left="710" w:leftChars="0"/>
        <w:rPr>
          <w:rFonts w:hint="eastAsia"/>
          <w:lang w:val="en-US" w:eastAsia="zh-CN"/>
        </w:rPr>
      </w:pPr>
    </w:p>
    <w:p>
      <w:pPr>
        <w:pStyle w:val="3"/>
        <w:ind w:firstLine="643" w:firstLineChars="200"/>
        <w:rPr>
          <w:rFonts w:hint="eastAsia"/>
          <w:sz w:val="32"/>
          <w:szCs w:val="32"/>
          <w:highlight w:val="none"/>
        </w:rPr>
      </w:pPr>
      <w:r>
        <w:rPr>
          <w:rFonts w:hint="eastAsia"/>
          <w:sz w:val="32"/>
          <w:szCs w:val="32"/>
          <w:highlight w:val="none"/>
        </w:rPr>
        <w:t>六、报送资料</w:t>
      </w:r>
    </w:p>
    <w:tbl>
      <w:tblPr>
        <w:tblStyle w:val="4"/>
        <w:tblW w:w="8796"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48"/>
        <w:gridCol w:w="5835"/>
        <w:gridCol w:w="413"/>
        <w:gridCol w:w="400"/>
        <w:gridCol w:w="423"/>
        <w:gridCol w:w="423"/>
        <w:gridCol w:w="377"/>
        <w:gridCol w:w="37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731" w:hRule="atLeast"/>
        </w:trPr>
        <w:tc>
          <w:tcPr>
            <w:tcW w:w="548" w:type="dxa"/>
            <w:shd w:val="clear" w:color="auto" w:fill="BEBEBE"/>
            <w:noWrap w:val="0"/>
            <w:tcMar>
              <w:top w:w="10" w:type="dxa"/>
              <w:left w:w="10" w:type="dxa"/>
              <w:right w:w="10"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5835" w:type="dxa"/>
            <w:shd w:val="clear" w:color="auto" w:fill="BEBEBE"/>
            <w:noWrap w:val="0"/>
            <w:tcMar>
              <w:top w:w="10" w:type="dxa"/>
              <w:left w:w="10" w:type="dxa"/>
              <w:right w:w="10"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提交资料名称</w:t>
            </w:r>
          </w:p>
        </w:tc>
        <w:tc>
          <w:tcPr>
            <w:tcW w:w="413" w:type="dxa"/>
            <w:shd w:val="clear" w:color="auto" w:fill="BEBEBE"/>
            <w:noWrap w:val="0"/>
            <w:tcMar>
              <w:top w:w="10" w:type="dxa"/>
              <w:left w:w="10" w:type="dxa"/>
              <w:right w:w="10"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必报</w:t>
            </w:r>
          </w:p>
        </w:tc>
        <w:tc>
          <w:tcPr>
            <w:tcW w:w="400" w:type="dxa"/>
            <w:shd w:val="clear" w:color="auto" w:fill="BEBEBE"/>
            <w:noWrap w:val="0"/>
            <w:tcMar>
              <w:top w:w="10" w:type="dxa"/>
              <w:left w:w="10" w:type="dxa"/>
              <w:right w:w="10"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条件</w:t>
            </w:r>
          </w:p>
          <w:p>
            <w:pPr>
              <w:keepNext w:val="0"/>
              <w:keepLines w:val="0"/>
              <w:suppressLineNumbers w:val="0"/>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报送</w:t>
            </w:r>
          </w:p>
        </w:tc>
        <w:tc>
          <w:tcPr>
            <w:tcW w:w="423" w:type="dxa"/>
            <w:shd w:val="clear" w:color="auto" w:fill="BEBEBE"/>
            <w:noWrap w:val="0"/>
            <w:tcMar>
              <w:top w:w="10" w:type="dxa"/>
              <w:left w:w="10" w:type="dxa"/>
              <w:right w:w="10"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归档</w:t>
            </w:r>
          </w:p>
        </w:tc>
        <w:tc>
          <w:tcPr>
            <w:tcW w:w="423" w:type="dxa"/>
            <w:shd w:val="clear" w:color="auto" w:fill="BEBEBE"/>
            <w:noWrap w:val="0"/>
            <w:tcMar>
              <w:top w:w="10" w:type="dxa"/>
              <w:left w:w="10" w:type="dxa"/>
              <w:right w:w="10"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查验</w:t>
            </w:r>
          </w:p>
        </w:tc>
        <w:tc>
          <w:tcPr>
            <w:tcW w:w="377" w:type="dxa"/>
            <w:shd w:val="clear" w:color="auto" w:fill="BEBEBE"/>
            <w:noWrap w:val="0"/>
            <w:tcMar>
              <w:top w:w="10" w:type="dxa"/>
              <w:left w:w="10" w:type="dxa"/>
              <w:right w:w="10"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容缺报送</w:t>
            </w:r>
          </w:p>
        </w:tc>
        <w:tc>
          <w:tcPr>
            <w:tcW w:w="377" w:type="dxa"/>
            <w:shd w:val="clear" w:color="auto" w:fill="BEBEBE"/>
            <w:noWrap w:val="0"/>
            <w:tcMar>
              <w:top w:w="10" w:type="dxa"/>
              <w:left w:w="10" w:type="dxa"/>
              <w:right w:w="10"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留存备查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 w:hRule="atLeast"/>
        </w:trPr>
        <w:tc>
          <w:tcPr>
            <w:tcW w:w="548" w:type="dxa"/>
            <w:noWrap w:val="0"/>
            <w:tcMar>
              <w:top w:w="10" w:type="dxa"/>
              <w:left w:w="10" w:type="dxa"/>
              <w:right w:w="10" w:type="dxa"/>
            </w:tcMar>
            <w:vAlign w:val="center"/>
          </w:tcPr>
          <w:p>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sz w:val="21"/>
                <w:szCs w:val="21"/>
              </w:rPr>
            </w:pPr>
            <w:r>
              <w:rPr>
                <w:rFonts w:hint="eastAsia" w:ascii="宋体" w:hAnsi="宋体" w:eastAsia="宋体" w:cs="宋体"/>
                <w:color w:val="000000"/>
                <w:sz w:val="21"/>
                <w:szCs w:val="21"/>
              </w:rPr>
              <w:t>1</w:t>
            </w:r>
          </w:p>
        </w:tc>
        <w:tc>
          <w:tcPr>
            <w:tcW w:w="5835" w:type="dxa"/>
            <w:noWrap w:val="0"/>
            <w:tcMar>
              <w:top w:w="10" w:type="dxa"/>
              <w:left w:w="10" w:type="dxa"/>
              <w:right w:w="10" w:type="dxa"/>
            </w:tcMar>
            <w:vAlign w:val="top"/>
          </w:tcPr>
          <w:p>
            <w:pPr>
              <w:pStyle w:val="7"/>
              <w:keepNext w:val="0"/>
              <w:keepLines w:val="0"/>
              <w:widowControl w:val="0"/>
              <w:suppressLineNumbers w:val="0"/>
              <w:ind w:left="0" w:leftChars="0" w:right="0" w:rightChars="0"/>
              <w:rPr>
                <w:rFonts w:hint="eastAsia" w:ascii="宋体" w:hAnsi="宋体" w:eastAsia="宋体" w:cs="宋体"/>
                <w:sz w:val="21"/>
                <w:szCs w:val="21"/>
              </w:rPr>
            </w:pPr>
            <w:r>
              <w:rPr>
                <w:rFonts w:hint="eastAsia" w:ascii="宋体" w:hAnsi="宋体" w:eastAsia="宋体" w:cs="宋体"/>
                <w:color w:val="000000"/>
                <w:kern w:val="0"/>
                <w:sz w:val="21"/>
                <w:szCs w:val="21"/>
              </w:rPr>
              <w:t>跨境应税行为免税备案表</w:t>
            </w:r>
          </w:p>
        </w:tc>
        <w:tc>
          <w:tcPr>
            <w:tcW w:w="413" w:type="dxa"/>
            <w:noWrap w:val="0"/>
            <w:tcMar>
              <w:top w:w="10" w:type="dxa"/>
              <w:left w:w="10" w:type="dxa"/>
              <w:right w:w="10" w:type="dxa"/>
            </w:tcMar>
            <w:vAlign w:val="top"/>
          </w:tcPr>
          <w:p>
            <w:pPr>
              <w:pStyle w:val="8"/>
              <w:keepNext w:val="0"/>
              <w:keepLines w:val="0"/>
              <w:widowControl w:val="0"/>
              <w:suppressLineNumbers w:val="0"/>
              <w:ind w:left="0" w:leftChars="0" w:right="0" w:rightChars="0" w:firstLine="0" w:firstLineChars="0"/>
              <w:rPr>
                <w:rFonts w:hint="eastAsia" w:ascii="宋体" w:hAnsi="宋体" w:eastAsia="宋体" w:cs="宋体"/>
                <w:sz w:val="21"/>
                <w:szCs w:val="21"/>
              </w:rPr>
            </w:pPr>
            <w:r>
              <w:rPr>
                <w:rFonts w:hint="eastAsia" w:ascii="宋体" w:hAnsi="宋体" w:eastAsia="宋体" w:cs="宋体"/>
                <w:color w:val="000000"/>
                <w:kern w:val="2"/>
                <w:sz w:val="21"/>
                <w:szCs w:val="21"/>
              </w:rPr>
              <w:t>√</w:t>
            </w:r>
          </w:p>
        </w:tc>
        <w:tc>
          <w:tcPr>
            <w:tcW w:w="400" w:type="dxa"/>
            <w:noWrap w:val="0"/>
            <w:tcMar>
              <w:top w:w="10" w:type="dxa"/>
              <w:left w:w="10" w:type="dxa"/>
              <w:right w:w="10" w:type="dxa"/>
            </w:tcMar>
            <w:vAlign w:val="top"/>
          </w:tcPr>
          <w:p>
            <w:pPr>
              <w:pStyle w:val="8"/>
              <w:keepNext w:val="0"/>
              <w:keepLines w:val="0"/>
              <w:widowControl w:val="0"/>
              <w:suppressLineNumbers w:val="0"/>
              <w:ind w:left="0" w:leftChars="0" w:right="0" w:rightChars="0" w:firstLine="0" w:firstLineChars="0"/>
              <w:rPr>
                <w:rFonts w:hint="eastAsia" w:ascii="宋体" w:hAnsi="宋体" w:eastAsia="宋体" w:cs="宋体"/>
                <w:sz w:val="21"/>
                <w:szCs w:val="21"/>
              </w:rPr>
            </w:pPr>
          </w:p>
        </w:tc>
        <w:tc>
          <w:tcPr>
            <w:tcW w:w="423" w:type="dxa"/>
            <w:noWrap w:val="0"/>
            <w:tcMar>
              <w:top w:w="10" w:type="dxa"/>
              <w:left w:w="10" w:type="dxa"/>
              <w:right w:w="10" w:type="dxa"/>
            </w:tcMar>
            <w:vAlign w:val="top"/>
          </w:tcPr>
          <w:p>
            <w:pPr>
              <w:pStyle w:val="8"/>
              <w:keepNext w:val="0"/>
              <w:keepLines w:val="0"/>
              <w:widowControl w:val="0"/>
              <w:suppressLineNumbers w:val="0"/>
              <w:ind w:left="0" w:leftChars="0" w:right="0" w:rightChars="0" w:firstLine="0" w:firstLineChars="0"/>
              <w:rPr>
                <w:rFonts w:hint="eastAsia" w:ascii="宋体" w:hAnsi="宋体" w:eastAsia="宋体" w:cs="宋体"/>
                <w:sz w:val="21"/>
                <w:szCs w:val="21"/>
              </w:rPr>
            </w:pPr>
            <w:r>
              <w:rPr>
                <w:rFonts w:hint="eastAsia" w:ascii="宋体" w:hAnsi="宋体" w:eastAsia="宋体" w:cs="宋体"/>
                <w:color w:val="000000"/>
                <w:kern w:val="2"/>
                <w:sz w:val="21"/>
                <w:szCs w:val="21"/>
              </w:rPr>
              <w:t>√</w:t>
            </w:r>
          </w:p>
        </w:tc>
        <w:tc>
          <w:tcPr>
            <w:tcW w:w="423" w:type="dxa"/>
            <w:noWrap w:val="0"/>
            <w:tcMar>
              <w:top w:w="10" w:type="dxa"/>
              <w:left w:w="10" w:type="dxa"/>
              <w:right w:w="10" w:type="dxa"/>
            </w:tcMar>
            <w:vAlign w:val="top"/>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c>
          <w:tcPr>
            <w:tcW w:w="377" w:type="dxa"/>
            <w:noWrap w:val="0"/>
            <w:tcMar>
              <w:top w:w="10" w:type="dxa"/>
              <w:left w:w="10" w:type="dxa"/>
              <w:right w:w="10" w:type="dxa"/>
            </w:tcMar>
            <w:vAlign w:val="top"/>
          </w:tcPr>
          <w:p>
            <w:pPr>
              <w:keepNext w:val="0"/>
              <w:keepLines w:val="0"/>
              <w:suppressLineNumbers w:val="0"/>
              <w:spacing w:before="0" w:beforeAutospacing="0" w:after="0" w:afterAutospacing="0"/>
              <w:ind w:left="0" w:right="0"/>
              <w:jc w:val="center"/>
              <w:rPr>
                <w:rFonts w:hint="eastAsia" w:ascii="宋体" w:hAnsi="宋体" w:eastAsia="宋体" w:cs="宋体"/>
                <w:kern w:val="0"/>
                <w:sz w:val="21"/>
                <w:szCs w:val="21"/>
              </w:rPr>
            </w:pPr>
          </w:p>
        </w:tc>
        <w:tc>
          <w:tcPr>
            <w:tcW w:w="377" w:type="dxa"/>
            <w:noWrap w:val="0"/>
            <w:tcMar>
              <w:top w:w="10" w:type="dxa"/>
              <w:left w:w="10" w:type="dxa"/>
              <w:right w:w="10" w:type="dxa"/>
            </w:tcMar>
            <w:vAlign w:val="top"/>
          </w:tcPr>
          <w:p>
            <w:pPr>
              <w:keepNext w:val="0"/>
              <w:keepLines w:val="0"/>
              <w:suppressLineNumbers w:val="0"/>
              <w:spacing w:before="0" w:beforeAutospacing="0" w:after="0" w:afterAutospacing="0"/>
              <w:ind w:left="0" w:right="0"/>
              <w:jc w:val="center"/>
              <w:rPr>
                <w:rFonts w:hint="eastAsia" w:ascii="宋体" w:hAnsi="宋体" w:eastAsia="宋体" w:cs="宋体"/>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77" w:hRule="atLeast"/>
        </w:trPr>
        <w:tc>
          <w:tcPr>
            <w:tcW w:w="548" w:type="dxa"/>
            <w:noWrap w:val="0"/>
            <w:tcMar>
              <w:top w:w="10" w:type="dxa"/>
              <w:left w:w="10" w:type="dxa"/>
              <w:right w:w="10" w:type="dxa"/>
            </w:tcMar>
            <w:vAlign w:val="center"/>
          </w:tcPr>
          <w:p>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sz w:val="21"/>
                <w:szCs w:val="21"/>
              </w:rPr>
            </w:pPr>
            <w:r>
              <w:rPr>
                <w:rFonts w:hint="eastAsia" w:ascii="宋体" w:hAnsi="宋体" w:eastAsia="宋体" w:cs="宋体"/>
                <w:color w:val="000000"/>
                <w:sz w:val="21"/>
                <w:szCs w:val="21"/>
              </w:rPr>
              <w:t>2</w:t>
            </w:r>
          </w:p>
        </w:tc>
        <w:tc>
          <w:tcPr>
            <w:tcW w:w="5835" w:type="dxa"/>
            <w:noWrap w:val="0"/>
            <w:tcMar>
              <w:top w:w="10" w:type="dxa"/>
              <w:left w:w="10" w:type="dxa"/>
              <w:right w:w="10" w:type="dxa"/>
            </w:tcMar>
            <w:vAlign w:val="top"/>
          </w:tcPr>
          <w:p>
            <w:pPr>
              <w:pStyle w:val="7"/>
              <w:keepNext w:val="0"/>
              <w:keepLines w:val="0"/>
              <w:widowControl w:val="0"/>
              <w:suppressLineNumbers w:val="0"/>
              <w:ind w:left="0" w:leftChars="0" w:right="0" w:rightChars="0"/>
              <w:rPr>
                <w:rFonts w:hint="eastAsia" w:ascii="宋体" w:hAnsi="宋体" w:eastAsia="宋体" w:cs="宋体"/>
                <w:sz w:val="21"/>
                <w:szCs w:val="21"/>
              </w:rPr>
            </w:pPr>
            <w:r>
              <w:rPr>
                <w:rFonts w:hint="eastAsia" w:ascii="宋体" w:hAnsi="宋体" w:eastAsia="宋体" w:cs="宋体"/>
                <w:color w:val="000000"/>
                <w:kern w:val="0"/>
                <w:sz w:val="21"/>
                <w:szCs w:val="21"/>
              </w:rPr>
              <w:t>跨境销售服务或无形资产的合同复印件（能够获取相关信息的可取消复印件的报送）</w:t>
            </w:r>
          </w:p>
        </w:tc>
        <w:tc>
          <w:tcPr>
            <w:tcW w:w="413" w:type="dxa"/>
            <w:noWrap w:val="0"/>
            <w:tcMar>
              <w:top w:w="10" w:type="dxa"/>
              <w:left w:w="10" w:type="dxa"/>
              <w:right w:w="10" w:type="dxa"/>
            </w:tcMar>
            <w:vAlign w:val="top"/>
          </w:tcPr>
          <w:p>
            <w:pPr>
              <w:pStyle w:val="8"/>
              <w:keepNext w:val="0"/>
              <w:keepLines w:val="0"/>
              <w:widowControl w:val="0"/>
              <w:suppressLineNumbers w:val="0"/>
              <w:ind w:left="0" w:leftChars="0" w:right="0" w:rightChars="0" w:firstLine="0" w:firstLineChars="0"/>
              <w:rPr>
                <w:rFonts w:hint="eastAsia" w:ascii="宋体" w:hAnsi="宋体" w:eastAsia="宋体" w:cs="宋体"/>
                <w:sz w:val="21"/>
                <w:szCs w:val="21"/>
              </w:rPr>
            </w:pPr>
          </w:p>
        </w:tc>
        <w:tc>
          <w:tcPr>
            <w:tcW w:w="400" w:type="dxa"/>
            <w:noWrap w:val="0"/>
            <w:tcMar>
              <w:top w:w="10" w:type="dxa"/>
              <w:left w:w="10" w:type="dxa"/>
              <w:right w:w="10" w:type="dxa"/>
            </w:tcMar>
            <w:vAlign w:val="top"/>
          </w:tcPr>
          <w:p>
            <w:pPr>
              <w:pStyle w:val="8"/>
              <w:keepNext w:val="0"/>
              <w:keepLines w:val="0"/>
              <w:widowControl w:val="0"/>
              <w:suppressLineNumbers w:val="0"/>
              <w:ind w:left="0" w:leftChars="0" w:right="0" w:rightChars="0" w:firstLine="0" w:firstLineChars="0"/>
              <w:rPr>
                <w:rFonts w:hint="eastAsia" w:ascii="宋体" w:hAnsi="宋体" w:eastAsia="宋体" w:cs="宋体"/>
                <w:sz w:val="21"/>
                <w:szCs w:val="21"/>
              </w:rPr>
            </w:pPr>
            <w:r>
              <w:rPr>
                <w:rFonts w:hint="eastAsia" w:ascii="宋体" w:hAnsi="宋体" w:eastAsia="宋体" w:cs="宋体"/>
                <w:color w:val="000000"/>
                <w:kern w:val="2"/>
                <w:sz w:val="21"/>
                <w:szCs w:val="21"/>
              </w:rPr>
              <w:t>√</w:t>
            </w:r>
          </w:p>
        </w:tc>
        <w:tc>
          <w:tcPr>
            <w:tcW w:w="423" w:type="dxa"/>
            <w:noWrap w:val="0"/>
            <w:tcMar>
              <w:top w:w="10" w:type="dxa"/>
              <w:left w:w="10" w:type="dxa"/>
              <w:right w:w="10" w:type="dxa"/>
            </w:tcMar>
            <w:vAlign w:val="top"/>
          </w:tcPr>
          <w:p>
            <w:pPr>
              <w:pStyle w:val="8"/>
              <w:keepNext w:val="0"/>
              <w:keepLines w:val="0"/>
              <w:widowControl w:val="0"/>
              <w:suppressLineNumbers w:val="0"/>
              <w:ind w:left="0" w:leftChars="0" w:right="0" w:rightChars="0" w:firstLine="0" w:firstLineChars="0"/>
              <w:rPr>
                <w:rFonts w:hint="eastAsia" w:ascii="宋体" w:hAnsi="宋体" w:eastAsia="宋体" w:cs="宋体"/>
                <w:sz w:val="21"/>
                <w:szCs w:val="21"/>
              </w:rPr>
            </w:pPr>
            <w:r>
              <w:rPr>
                <w:rFonts w:hint="eastAsia" w:ascii="宋体" w:hAnsi="宋体" w:eastAsia="宋体" w:cs="宋体"/>
                <w:color w:val="000000"/>
                <w:kern w:val="2"/>
                <w:sz w:val="21"/>
                <w:szCs w:val="21"/>
              </w:rPr>
              <w:t>√</w:t>
            </w:r>
          </w:p>
        </w:tc>
        <w:tc>
          <w:tcPr>
            <w:tcW w:w="423" w:type="dxa"/>
            <w:noWrap w:val="0"/>
            <w:tcMar>
              <w:top w:w="10" w:type="dxa"/>
              <w:left w:w="10" w:type="dxa"/>
              <w:right w:w="10" w:type="dxa"/>
            </w:tcMar>
            <w:vAlign w:val="top"/>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c>
          <w:tcPr>
            <w:tcW w:w="377" w:type="dxa"/>
            <w:noWrap w:val="0"/>
            <w:tcMar>
              <w:top w:w="10" w:type="dxa"/>
              <w:left w:w="10" w:type="dxa"/>
              <w:right w:w="10" w:type="dxa"/>
            </w:tcMar>
            <w:vAlign w:val="top"/>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c>
          <w:tcPr>
            <w:tcW w:w="377" w:type="dxa"/>
            <w:noWrap w:val="0"/>
            <w:tcMar>
              <w:top w:w="10" w:type="dxa"/>
              <w:left w:w="10" w:type="dxa"/>
              <w:right w:w="10" w:type="dxa"/>
            </w:tcMar>
            <w:vAlign w:val="top"/>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5" w:hRule="atLeast"/>
        </w:trPr>
        <w:tc>
          <w:tcPr>
            <w:tcW w:w="548" w:type="dxa"/>
            <w:noWrap w:val="0"/>
            <w:tcMar>
              <w:top w:w="10" w:type="dxa"/>
              <w:left w:w="10" w:type="dxa"/>
              <w:right w:w="10" w:type="dxa"/>
            </w:tcMar>
            <w:vAlign w:val="center"/>
          </w:tcPr>
          <w:p>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sz w:val="21"/>
                <w:szCs w:val="21"/>
              </w:rPr>
            </w:pPr>
            <w:r>
              <w:rPr>
                <w:rFonts w:hint="eastAsia" w:ascii="宋体" w:hAnsi="宋体" w:eastAsia="宋体" w:cs="宋体"/>
                <w:color w:val="000000"/>
                <w:sz w:val="21"/>
                <w:szCs w:val="21"/>
              </w:rPr>
              <w:t>3</w:t>
            </w:r>
          </w:p>
        </w:tc>
        <w:tc>
          <w:tcPr>
            <w:tcW w:w="5835" w:type="dxa"/>
            <w:noWrap w:val="0"/>
            <w:tcMar>
              <w:top w:w="10" w:type="dxa"/>
              <w:left w:w="10" w:type="dxa"/>
              <w:right w:w="10" w:type="dxa"/>
            </w:tcMar>
            <w:vAlign w:val="top"/>
          </w:tcPr>
          <w:p>
            <w:pPr>
              <w:pStyle w:val="7"/>
              <w:keepNext w:val="0"/>
              <w:keepLines w:val="0"/>
              <w:widowControl w:val="0"/>
              <w:suppressLineNumbers w:val="0"/>
              <w:ind w:left="0" w:leftChars="0" w:right="0" w:rightChars="0"/>
              <w:rPr>
                <w:rFonts w:hint="eastAsia" w:ascii="宋体" w:hAnsi="宋体" w:eastAsia="宋体" w:cs="宋体"/>
                <w:sz w:val="21"/>
                <w:szCs w:val="21"/>
              </w:rPr>
            </w:pPr>
            <w:r>
              <w:rPr>
                <w:rFonts w:hint="eastAsia" w:ascii="宋体" w:hAnsi="宋体" w:eastAsia="宋体" w:cs="宋体"/>
                <w:color w:val="000000"/>
                <w:kern w:val="0"/>
                <w:sz w:val="21"/>
                <w:szCs w:val="21"/>
              </w:rPr>
              <w:t>服务地点在境外的证明材料复印件（能够获取相关信息的可取消复印件的报送）</w:t>
            </w:r>
          </w:p>
        </w:tc>
        <w:tc>
          <w:tcPr>
            <w:tcW w:w="413" w:type="dxa"/>
            <w:noWrap w:val="0"/>
            <w:tcMar>
              <w:top w:w="10" w:type="dxa"/>
              <w:left w:w="10" w:type="dxa"/>
              <w:right w:w="10" w:type="dxa"/>
            </w:tcMar>
            <w:vAlign w:val="top"/>
          </w:tcPr>
          <w:p>
            <w:pPr>
              <w:pStyle w:val="8"/>
              <w:keepNext w:val="0"/>
              <w:keepLines w:val="0"/>
              <w:widowControl w:val="0"/>
              <w:suppressLineNumbers w:val="0"/>
              <w:ind w:left="0" w:leftChars="0" w:right="0" w:rightChars="0" w:firstLine="0" w:firstLineChars="0"/>
              <w:rPr>
                <w:rFonts w:hint="eastAsia" w:ascii="宋体" w:hAnsi="宋体" w:eastAsia="宋体" w:cs="宋体"/>
                <w:sz w:val="21"/>
                <w:szCs w:val="21"/>
              </w:rPr>
            </w:pPr>
          </w:p>
        </w:tc>
        <w:tc>
          <w:tcPr>
            <w:tcW w:w="400" w:type="dxa"/>
            <w:noWrap w:val="0"/>
            <w:tcMar>
              <w:top w:w="10" w:type="dxa"/>
              <w:left w:w="10" w:type="dxa"/>
              <w:right w:w="10" w:type="dxa"/>
            </w:tcMar>
            <w:vAlign w:val="top"/>
          </w:tcPr>
          <w:p>
            <w:pPr>
              <w:pStyle w:val="8"/>
              <w:keepNext w:val="0"/>
              <w:keepLines w:val="0"/>
              <w:widowControl w:val="0"/>
              <w:suppressLineNumbers w:val="0"/>
              <w:ind w:left="0" w:leftChars="0" w:right="0" w:rightChars="0" w:firstLine="0" w:firstLineChars="0"/>
              <w:rPr>
                <w:rFonts w:hint="eastAsia" w:ascii="宋体" w:hAnsi="宋体" w:eastAsia="宋体" w:cs="宋体"/>
                <w:sz w:val="21"/>
                <w:szCs w:val="21"/>
              </w:rPr>
            </w:pPr>
            <w:r>
              <w:rPr>
                <w:rFonts w:hint="eastAsia" w:ascii="宋体" w:hAnsi="宋体" w:eastAsia="宋体" w:cs="宋体"/>
                <w:color w:val="000000"/>
                <w:kern w:val="2"/>
                <w:sz w:val="21"/>
                <w:szCs w:val="21"/>
              </w:rPr>
              <w:t>√</w:t>
            </w:r>
          </w:p>
        </w:tc>
        <w:tc>
          <w:tcPr>
            <w:tcW w:w="423" w:type="dxa"/>
            <w:noWrap w:val="0"/>
            <w:tcMar>
              <w:top w:w="10" w:type="dxa"/>
              <w:left w:w="10" w:type="dxa"/>
              <w:right w:w="10" w:type="dxa"/>
            </w:tcMar>
            <w:vAlign w:val="top"/>
          </w:tcPr>
          <w:p>
            <w:pPr>
              <w:pStyle w:val="8"/>
              <w:keepNext w:val="0"/>
              <w:keepLines w:val="0"/>
              <w:widowControl w:val="0"/>
              <w:suppressLineNumbers w:val="0"/>
              <w:ind w:left="0" w:leftChars="0" w:right="0" w:rightChars="0" w:firstLine="0" w:firstLineChars="0"/>
              <w:rPr>
                <w:rFonts w:hint="eastAsia" w:ascii="宋体" w:hAnsi="宋体" w:eastAsia="宋体" w:cs="宋体"/>
                <w:sz w:val="21"/>
                <w:szCs w:val="21"/>
              </w:rPr>
            </w:pPr>
            <w:r>
              <w:rPr>
                <w:rFonts w:hint="eastAsia" w:ascii="宋体" w:hAnsi="宋体" w:eastAsia="宋体" w:cs="宋体"/>
                <w:color w:val="000000"/>
                <w:kern w:val="2"/>
                <w:sz w:val="21"/>
                <w:szCs w:val="21"/>
              </w:rPr>
              <w:t>√</w:t>
            </w:r>
          </w:p>
        </w:tc>
        <w:tc>
          <w:tcPr>
            <w:tcW w:w="423" w:type="dxa"/>
            <w:noWrap w:val="0"/>
            <w:tcMar>
              <w:top w:w="10" w:type="dxa"/>
              <w:left w:w="10" w:type="dxa"/>
              <w:right w:w="10" w:type="dxa"/>
            </w:tcMar>
            <w:vAlign w:val="top"/>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c>
          <w:tcPr>
            <w:tcW w:w="377" w:type="dxa"/>
            <w:noWrap w:val="0"/>
            <w:tcMar>
              <w:top w:w="10" w:type="dxa"/>
              <w:left w:w="10" w:type="dxa"/>
              <w:right w:w="10" w:type="dxa"/>
            </w:tcMar>
            <w:vAlign w:val="top"/>
          </w:tcPr>
          <w:p>
            <w:pPr>
              <w:keepNext w:val="0"/>
              <w:keepLines w:val="0"/>
              <w:suppressLineNumbers w:val="0"/>
              <w:spacing w:before="0" w:beforeAutospacing="0" w:after="0" w:afterAutospacing="0"/>
              <w:ind w:left="0" w:right="0"/>
              <w:jc w:val="center"/>
              <w:rPr>
                <w:rFonts w:hint="eastAsia" w:ascii="宋体" w:hAnsi="宋体" w:eastAsia="宋体" w:cs="宋体"/>
                <w:kern w:val="0"/>
                <w:sz w:val="21"/>
                <w:szCs w:val="21"/>
              </w:rPr>
            </w:pPr>
          </w:p>
        </w:tc>
        <w:tc>
          <w:tcPr>
            <w:tcW w:w="377" w:type="dxa"/>
            <w:noWrap w:val="0"/>
            <w:tcMar>
              <w:top w:w="10" w:type="dxa"/>
              <w:left w:w="10" w:type="dxa"/>
              <w:right w:w="10" w:type="dxa"/>
            </w:tcMar>
            <w:vAlign w:val="top"/>
          </w:tcPr>
          <w:p>
            <w:pPr>
              <w:keepNext w:val="0"/>
              <w:keepLines w:val="0"/>
              <w:suppressLineNumbers w:val="0"/>
              <w:spacing w:before="0" w:beforeAutospacing="0" w:after="0" w:afterAutospacing="0"/>
              <w:ind w:left="0" w:right="0"/>
              <w:jc w:val="center"/>
              <w:rPr>
                <w:rFonts w:hint="eastAsia" w:ascii="宋体" w:hAnsi="宋体" w:eastAsia="宋体" w:cs="宋体"/>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4" w:hRule="atLeast"/>
        </w:trPr>
        <w:tc>
          <w:tcPr>
            <w:tcW w:w="548" w:type="dxa"/>
            <w:noWrap w:val="0"/>
            <w:tcMar>
              <w:top w:w="10" w:type="dxa"/>
              <w:left w:w="10" w:type="dxa"/>
              <w:right w:w="10" w:type="dxa"/>
            </w:tcMar>
            <w:vAlign w:val="center"/>
          </w:tcPr>
          <w:p>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sz w:val="21"/>
                <w:szCs w:val="21"/>
              </w:rPr>
            </w:pPr>
            <w:r>
              <w:rPr>
                <w:rFonts w:hint="eastAsia" w:ascii="宋体" w:hAnsi="宋体" w:eastAsia="宋体" w:cs="宋体"/>
                <w:color w:val="000000"/>
                <w:sz w:val="21"/>
                <w:szCs w:val="21"/>
              </w:rPr>
              <w:t>4</w:t>
            </w:r>
          </w:p>
        </w:tc>
        <w:tc>
          <w:tcPr>
            <w:tcW w:w="5835" w:type="dxa"/>
            <w:noWrap w:val="0"/>
            <w:tcMar>
              <w:top w:w="10" w:type="dxa"/>
              <w:left w:w="10" w:type="dxa"/>
              <w:right w:w="10" w:type="dxa"/>
            </w:tcMar>
            <w:vAlign w:val="top"/>
          </w:tcPr>
          <w:p>
            <w:pPr>
              <w:pStyle w:val="7"/>
              <w:keepNext w:val="0"/>
              <w:keepLines w:val="0"/>
              <w:widowControl w:val="0"/>
              <w:suppressLineNumbers w:val="0"/>
              <w:ind w:left="0" w:leftChars="0" w:right="0" w:rightChars="0"/>
              <w:rPr>
                <w:rFonts w:hint="eastAsia" w:ascii="宋体" w:hAnsi="宋体" w:eastAsia="宋体" w:cs="宋体"/>
                <w:sz w:val="21"/>
                <w:szCs w:val="21"/>
              </w:rPr>
            </w:pPr>
            <w:r>
              <w:rPr>
                <w:rFonts w:hint="eastAsia" w:ascii="宋体" w:hAnsi="宋体" w:eastAsia="宋体" w:cs="宋体"/>
                <w:color w:val="000000"/>
                <w:kern w:val="0"/>
                <w:sz w:val="21"/>
                <w:szCs w:val="21"/>
              </w:rPr>
              <w:t>实际发生国际运输业务的证明材料</w:t>
            </w:r>
          </w:p>
        </w:tc>
        <w:tc>
          <w:tcPr>
            <w:tcW w:w="413" w:type="dxa"/>
            <w:noWrap w:val="0"/>
            <w:tcMar>
              <w:top w:w="10" w:type="dxa"/>
              <w:left w:w="10" w:type="dxa"/>
              <w:right w:w="10" w:type="dxa"/>
            </w:tcMar>
            <w:vAlign w:val="top"/>
          </w:tcPr>
          <w:p>
            <w:pPr>
              <w:pStyle w:val="8"/>
              <w:keepNext w:val="0"/>
              <w:keepLines w:val="0"/>
              <w:widowControl w:val="0"/>
              <w:suppressLineNumbers w:val="0"/>
              <w:ind w:left="0" w:leftChars="0" w:right="0" w:rightChars="0" w:firstLine="0" w:firstLineChars="0"/>
              <w:rPr>
                <w:rFonts w:hint="eastAsia" w:ascii="宋体" w:hAnsi="宋体" w:eastAsia="宋体" w:cs="宋体"/>
                <w:sz w:val="21"/>
                <w:szCs w:val="21"/>
              </w:rPr>
            </w:pPr>
          </w:p>
        </w:tc>
        <w:tc>
          <w:tcPr>
            <w:tcW w:w="400" w:type="dxa"/>
            <w:noWrap w:val="0"/>
            <w:tcMar>
              <w:top w:w="10" w:type="dxa"/>
              <w:left w:w="10" w:type="dxa"/>
              <w:right w:w="10" w:type="dxa"/>
            </w:tcMar>
            <w:vAlign w:val="top"/>
          </w:tcPr>
          <w:p>
            <w:pPr>
              <w:pStyle w:val="8"/>
              <w:keepNext w:val="0"/>
              <w:keepLines w:val="0"/>
              <w:widowControl w:val="0"/>
              <w:suppressLineNumbers w:val="0"/>
              <w:ind w:left="0" w:leftChars="0" w:right="0" w:rightChars="0" w:firstLine="0" w:firstLineChars="0"/>
              <w:rPr>
                <w:rFonts w:hint="eastAsia" w:ascii="宋体" w:hAnsi="宋体" w:eastAsia="宋体" w:cs="宋体"/>
                <w:sz w:val="21"/>
                <w:szCs w:val="21"/>
              </w:rPr>
            </w:pPr>
            <w:r>
              <w:rPr>
                <w:rFonts w:hint="eastAsia" w:ascii="宋体" w:hAnsi="宋体" w:eastAsia="宋体" w:cs="宋体"/>
                <w:color w:val="000000"/>
                <w:kern w:val="2"/>
                <w:sz w:val="21"/>
                <w:szCs w:val="21"/>
              </w:rPr>
              <w:t>√</w:t>
            </w:r>
          </w:p>
        </w:tc>
        <w:tc>
          <w:tcPr>
            <w:tcW w:w="423" w:type="dxa"/>
            <w:noWrap w:val="0"/>
            <w:tcMar>
              <w:top w:w="10" w:type="dxa"/>
              <w:left w:w="10" w:type="dxa"/>
              <w:right w:w="10" w:type="dxa"/>
            </w:tcMar>
            <w:vAlign w:val="top"/>
          </w:tcPr>
          <w:p>
            <w:pPr>
              <w:pStyle w:val="8"/>
              <w:keepNext w:val="0"/>
              <w:keepLines w:val="0"/>
              <w:widowControl w:val="0"/>
              <w:suppressLineNumbers w:val="0"/>
              <w:ind w:left="0" w:leftChars="0" w:right="0" w:rightChars="0" w:firstLine="0" w:firstLineChars="0"/>
              <w:rPr>
                <w:rFonts w:hint="eastAsia" w:ascii="宋体" w:hAnsi="宋体" w:eastAsia="宋体" w:cs="宋体"/>
                <w:sz w:val="21"/>
                <w:szCs w:val="21"/>
              </w:rPr>
            </w:pPr>
            <w:r>
              <w:rPr>
                <w:rFonts w:hint="eastAsia" w:ascii="宋体" w:hAnsi="宋体" w:eastAsia="宋体" w:cs="宋体"/>
                <w:color w:val="000000"/>
                <w:kern w:val="2"/>
                <w:sz w:val="21"/>
                <w:szCs w:val="21"/>
              </w:rPr>
              <w:t>√</w:t>
            </w:r>
          </w:p>
        </w:tc>
        <w:tc>
          <w:tcPr>
            <w:tcW w:w="423" w:type="dxa"/>
            <w:noWrap w:val="0"/>
            <w:tcMar>
              <w:top w:w="10" w:type="dxa"/>
              <w:left w:w="10" w:type="dxa"/>
              <w:right w:w="10" w:type="dxa"/>
            </w:tcMar>
            <w:vAlign w:val="top"/>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c>
          <w:tcPr>
            <w:tcW w:w="377" w:type="dxa"/>
            <w:noWrap w:val="0"/>
            <w:tcMar>
              <w:top w:w="10" w:type="dxa"/>
              <w:left w:w="10" w:type="dxa"/>
              <w:right w:w="10" w:type="dxa"/>
            </w:tcMar>
            <w:vAlign w:val="top"/>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c>
          <w:tcPr>
            <w:tcW w:w="377" w:type="dxa"/>
            <w:noWrap w:val="0"/>
            <w:tcMar>
              <w:top w:w="10" w:type="dxa"/>
              <w:left w:w="10" w:type="dxa"/>
              <w:right w:w="10" w:type="dxa"/>
            </w:tcMar>
            <w:vAlign w:val="top"/>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 w:hRule="atLeast"/>
        </w:trPr>
        <w:tc>
          <w:tcPr>
            <w:tcW w:w="548" w:type="dxa"/>
            <w:noWrap w:val="0"/>
            <w:tcMar>
              <w:top w:w="10" w:type="dxa"/>
              <w:left w:w="10" w:type="dxa"/>
              <w:right w:w="10" w:type="dxa"/>
            </w:tcMar>
            <w:vAlign w:val="center"/>
          </w:tcPr>
          <w:p>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sz w:val="21"/>
                <w:szCs w:val="21"/>
              </w:rPr>
            </w:pPr>
            <w:r>
              <w:rPr>
                <w:rFonts w:hint="eastAsia" w:ascii="宋体" w:hAnsi="宋体" w:eastAsia="宋体" w:cs="宋体"/>
                <w:color w:val="000000"/>
                <w:sz w:val="21"/>
                <w:szCs w:val="21"/>
              </w:rPr>
              <w:t>5</w:t>
            </w:r>
          </w:p>
        </w:tc>
        <w:tc>
          <w:tcPr>
            <w:tcW w:w="5835" w:type="dxa"/>
            <w:noWrap w:val="0"/>
            <w:tcMar>
              <w:top w:w="10" w:type="dxa"/>
              <w:left w:w="10" w:type="dxa"/>
              <w:right w:w="10" w:type="dxa"/>
            </w:tcMar>
            <w:vAlign w:val="top"/>
          </w:tcPr>
          <w:p>
            <w:pPr>
              <w:pStyle w:val="7"/>
              <w:keepNext w:val="0"/>
              <w:keepLines w:val="0"/>
              <w:widowControl w:val="0"/>
              <w:suppressLineNumbers w:val="0"/>
              <w:ind w:left="0" w:leftChars="0" w:right="0" w:rightChars="0"/>
              <w:rPr>
                <w:rFonts w:hint="eastAsia" w:ascii="宋体" w:hAnsi="宋体" w:eastAsia="宋体" w:cs="宋体"/>
                <w:sz w:val="21"/>
                <w:szCs w:val="21"/>
              </w:rPr>
            </w:pPr>
            <w:r>
              <w:rPr>
                <w:rFonts w:hint="eastAsia" w:ascii="宋体" w:hAnsi="宋体" w:eastAsia="宋体" w:cs="宋体"/>
                <w:color w:val="000000"/>
                <w:kern w:val="0"/>
                <w:sz w:val="21"/>
                <w:szCs w:val="21"/>
              </w:rPr>
              <w:t>服务或无形资产购买方的机构所在地在境外的证明材料</w:t>
            </w:r>
          </w:p>
        </w:tc>
        <w:tc>
          <w:tcPr>
            <w:tcW w:w="413" w:type="dxa"/>
            <w:noWrap w:val="0"/>
            <w:tcMar>
              <w:top w:w="10" w:type="dxa"/>
              <w:left w:w="10" w:type="dxa"/>
              <w:right w:w="10" w:type="dxa"/>
            </w:tcMar>
            <w:vAlign w:val="top"/>
          </w:tcPr>
          <w:p>
            <w:pPr>
              <w:pStyle w:val="8"/>
              <w:keepNext w:val="0"/>
              <w:keepLines w:val="0"/>
              <w:widowControl w:val="0"/>
              <w:suppressLineNumbers w:val="0"/>
              <w:ind w:left="0" w:leftChars="0" w:right="0" w:rightChars="0" w:firstLine="0" w:firstLineChars="0"/>
              <w:rPr>
                <w:rFonts w:hint="eastAsia" w:ascii="宋体" w:hAnsi="宋体" w:eastAsia="宋体" w:cs="宋体"/>
                <w:sz w:val="21"/>
                <w:szCs w:val="21"/>
              </w:rPr>
            </w:pPr>
          </w:p>
        </w:tc>
        <w:tc>
          <w:tcPr>
            <w:tcW w:w="400" w:type="dxa"/>
            <w:noWrap w:val="0"/>
            <w:tcMar>
              <w:top w:w="10" w:type="dxa"/>
              <w:left w:w="10" w:type="dxa"/>
              <w:right w:w="10" w:type="dxa"/>
            </w:tcMar>
            <w:vAlign w:val="top"/>
          </w:tcPr>
          <w:p>
            <w:pPr>
              <w:pStyle w:val="8"/>
              <w:keepNext w:val="0"/>
              <w:keepLines w:val="0"/>
              <w:widowControl w:val="0"/>
              <w:suppressLineNumbers w:val="0"/>
              <w:ind w:left="0" w:leftChars="0" w:right="0" w:rightChars="0" w:firstLine="0" w:firstLineChars="0"/>
              <w:rPr>
                <w:rFonts w:hint="eastAsia" w:ascii="宋体" w:hAnsi="宋体" w:eastAsia="宋体" w:cs="宋体"/>
                <w:sz w:val="21"/>
                <w:szCs w:val="21"/>
              </w:rPr>
            </w:pPr>
            <w:r>
              <w:rPr>
                <w:rFonts w:hint="eastAsia" w:ascii="宋体" w:hAnsi="宋体" w:eastAsia="宋体" w:cs="宋体"/>
                <w:color w:val="000000"/>
                <w:kern w:val="2"/>
                <w:sz w:val="21"/>
                <w:szCs w:val="21"/>
              </w:rPr>
              <w:t>√</w:t>
            </w:r>
          </w:p>
        </w:tc>
        <w:tc>
          <w:tcPr>
            <w:tcW w:w="423" w:type="dxa"/>
            <w:noWrap w:val="0"/>
            <w:tcMar>
              <w:top w:w="10" w:type="dxa"/>
              <w:left w:w="10" w:type="dxa"/>
              <w:right w:w="10" w:type="dxa"/>
            </w:tcMar>
            <w:vAlign w:val="top"/>
          </w:tcPr>
          <w:p>
            <w:pPr>
              <w:pStyle w:val="8"/>
              <w:keepNext w:val="0"/>
              <w:keepLines w:val="0"/>
              <w:widowControl w:val="0"/>
              <w:suppressLineNumbers w:val="0"/>
              <w:ind w:left="0" w:leftChars="0" w:right="0" w:rightChars="0" w:firstLine="0" w:firstLineChars="0"/>
              <w:rPr>
                <w:rFonts w:hint="eastAsia" w:ascii="宋体" w:hAnsi="宋体" w:eastAsia="宋体" w:cs="宋体"/>
                <w:sz w:val="21"/>
                <w:szCs w:val="21"/>
              </w:rPr>
            </w:pPr>
            <w:r>
              <w:rPr>
                <w:rFonts w:hint="eastAsia" w:ascii="宋体" w:hAnsi="宋体" w:eastAsia="宋体" w:cs="宋体"/>
                <w:color w:val="000000"/>
                <w:kern w:val="2"/>
                <w:sz w:val="21"/>
                <w:szCs w:val="21"/>
              </w:rPr>
              <w:t>√</w:t>
            </w:r>
          </w:p>
        </w:tc>
        <w:tc>
          <w:tcPr>
            <w:tcW w:w="423" w:type="dxa"/>
            <w:noWrap w:val="0"/>
            <w:tcMar>
              <w:top w:w="10" w:type="dxa"/>
              <w:left w:w="10" w:type="dxa"/>
              <w:right w:w="10" w:type="dxa"/>
            </w:tcMar>
            <w:vAlign w:val="top"/>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c>
          <w:tcPr>
            <w:tcW w:w="377" w:type="dxa"/>
            <w:noWrap w:val="0"/>
            <w:tcMar>
              <w:top w:w="10" w:type="dxa"/>
              <w:left w:w="10" w:type="dxa"/>
              <w:right w:w="10" w:type="dxa"/>
            </w:tcMar>
            <w:vAlign w:val="top"/>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c>
          <w:tcPr>
            <w:tcW w:w="377" w:type="dxa"/>
            <w:noWrap w:val="0"/>
            <w:tcMar>
              <w:top w:w="10" w:type="dxa"/>
              <w:left w:w="10" w:type="dxa"/>
              <w:right w:w="10" w:type="dxa"/>
            </w:tcMar>
            <w:vAlign w:val="top"/>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 w:hRule="atLeast"/>
        </w:trPr>
        <w:tc>
          <w:tcPr>
            <w:tcW w:w="548" w:type="dxa"/>
            <w:noWrap w:val="0"/>
            <w:tcMar>
              <w:top w:w="10" w:type="dxa"/>
              <w:left w:w="10" w:type="dxa"/>
              <w:right w:w="10" w:type="dxa"/>
            </w:tcMar>
            <w:vAlign w:val="center"/>
          </w:tcPr>
          <w:p>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sz w:val="21"/>
                <w:szCs w:val="21"/>
              </w:rPr>
            </w:pPr>
            <w:r>
              <w:rPr>
                <w:rFonts w:hint="eastAsia" w:ascii="宋体" w:hAnsi="宋体" w:eastAsia="宋体" w:cs="宋体"/>
                <w:color w:val="000000"/>
                <w:sz w:val="21"/>
                <w:szCs w:val="21"/>
              </w:rPr>
              <w:t>6</w:t>
            </w:r>
          </w:p>
        </w:tc>
        <w:tc>
          <w:tcPr>
            <w:tcW w:w="5835" w:type="dxa"/>
            <w:noWrap w:val="0"/>
            <w:tcMar>
              <w:top w:w="10" w:type="dxa"/>
              <w:left w:w="10" w:type="dxa"/>
              <w:right w:w="10" w:type="dxa"/>
            </w:tcMar>
            <w:vAlign w:val="top"/>
          </w:tcPr>
          <w:p>
            <w:pPr>
              <w:pStyle w:val="7"/>
              <w:keepNext w:val="0"/>
              <w:keepLines w:val="0"/>
              <w:widowControl w:val="0"/>
              <w:suppressLineNumbers w:val="0"/>
              <w:ind w:left="0" w:leftChars="0" w:right="0" w:rightChars="0"/>
              <w:rPr>
                <w:rFonts w:hint="eastAsia" w:ascii="宋体" w:hAnsi="宋体" w:eastAsia="宋体" w:cs="宋体"/>
                <w:sz w:val="21"/>
                <w:szCs w:val="21"/>
              </w:rPr>
            </w:pPr>
            <w:r>
              <w:rPr>
                <w:rFonts w:hint="eastAsia" w:ascii="宋体" w:hAnsi="宋体" w:eastAsia="宋体" w:cs="宋体"/>
                <w:color w:val="000000"/>
                <w:kern w:val="0"/>
                <w:sz w:val="21"/>
                <w:szCs w:val="21"/>
              </w:rPr>
              <w:t>放弃适用增值税零税率声明</w:t>
            </w:r>
          </w:p>
        </w:tc>
        <w:tc>
          <w:tcPr>
            <w:tcW w:w="413" w:type="dxa"/>
            <w:noWrap w:val="0"/>
            <w:tcMar>
              <w:top w:w="10" w:type="dxa"/>
              <w:left w:w="10" w:type="dxa"/>
              <w:right w:w="10" w:type="dxa"/>
            </w:tcMar>
            <w:vAlign w:val="top"/>
          </w:tcPr>
          <w:p>
            <w:pPr>
              <w:pStyle w:val="8"/>
              <w:keepNext w:val="0"/>
              <w:keepLines w:val="0"/>
              <w:widowControl w:val="0"/>
              <w:suppressLineNumbers w:val="0"/>
              <w:ind w:left="0" w:leftChars="0" w:right="0" w:rightChars="0" w:firstLine="0" w:firstLineChars="0"/>
              <w:rPr>
                <w:rFonts w:hint="eastAsia" w:ascii="宋体" w:hAnsi="宋体" w:eastAsia="宋体" w:cs="宋体"/>
                <w:sz w:val="21"/>
                <w:szCs w:val="21"/>
              </w:rPr>
            </w:pPr>
          </w:p>
        </w:tc>
        <w:tc>
          <w:tcPr>
            <w:tcW w:w="400" w:type="dxa"/>
            <w:noWrap w:val="0"/>
            <w:tcMar>
              <w:top w:w="10" w:type="dxa"/>
              <w:left w:w="10" w:type="dxa"/>
              <w:right w:w="10" w:type="dxa"/>
            </w:tcMar>
            <w:vAlign w:val="top"/>
          </w:tcPr>
          <w:p>
            <w:pPr>
              <w:pStyle w:val="8"/>
              <w:keepNext w:val="0"/>
              <w:keepLines w:val="0"/>
              <w:widowControl w:val="0"/>
              <w:suppressLineNumbers w:val="0"/>
              <w:ind w:left="0" w:leftChars="0" w:right="0" w:rightChars="0" w:firstLine="0" w:firstLineChars="0"/>
              <w:rPr>
                <w:rFonts w:hint="eastAsia" w:ascii="宋体" w:hAnsi="宋体" w:eastAsia="宋体" w:cs="宋体"/>
                <w:sz w:val="21"/>
                <w:szCs w:val="21"/>
              </w:rPr>
            </w:pPr>
            <w:r>
              <w:rPr>
                <w:rFonts w:hint="eastAsia" w:ascii="宋体" w:hAnsi="宋体" w:eastAsia="宋体" w:cs="宋体"/>
                <w:color w:val="000000"/>
                <w:kern w:val="2"/>
                <w:sz w:val="21"/>
                <w:szCs w:val="21"/>
              </w:rPr>
              <w:t>√</w:t>
            </w:r>
          </w:p>
        </w:tc>
        <w:tc>
          <w:tcPr>
            <w:tcW w:w="423" w:type="dxa"/>
            <w:noWrap w:val="0"/>
            <w:tcMar>
              <w:top w:w="10" w:type="dxa"/>
              <w:left w:w="10" w:type="dxa"/>
              <w:right w:w="10" w:type="dxa"/>
            </w:tcMar>
            <w:vAlign w:val="top"/>
          </w:tcPr>
          <w:p>
            <w:pPr>
              <w:pStyle w:val="8"/>
              <w:keepNext w:val="0"/>
              <w:keepLines w:val="0"/>
              <w:widowControl w:val="0"/>
              <w:suppressLineNumbers w:val="0"/>
              <w:ind w:left="0" w:leftChars="0" w:right="0" w:rightChars="0" w:firstLine="0" w:firstLineChars="0"/>
              <w:rPr>
                <w:rFonts w:hint="eastAsia" w:ascii="宋体" w:hAnsi="宋体" w:eastAsia="宋体" w:cs="宋体"/>
                <w:sz w:val="21"/>
                <w:szCs w:val="21"/>
              </w:rPr>
            </w:pPr>
            <w:r>
              <w:rPr>
                <w:rFonts w:hint="eastAsia" w:ascii="宋体" w:hAnsi="宋体" w:eastAsia="宋体" w:cs="宋体"/>
                <w:color w:val="000000"/>
                <w:kern w:val="2"/>
                <w:sz w:val="21"/>
                <w:szCs w:val="21"/>
              </w:rPr>
              <w:t>√</w:t>
            </w:r>
          </w:p>
        </w:tc>
        <w:tc>
          <w:tcPr>
            <w:tcW w:w="423" w:type="dxa"/>
            <w:noWrap w:val="0"/>
            <w:tcMar>
              <w:top w:w="10" w:type="dxa"/>
              <w:left w:w="10" w:type="dxa"/>
              <w:right w:w="10" w:type="dxa"/>
            </w:tcMar>
            <w:vAlign w:val="top"/>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c>
          <w:tcPr>
            <w:tcW w:w="377" w:type="dxa"/>
            <w:noWrap w:val="0"/>
            <w:tcMar>
              <w:top w:w="10" w:type="dxa"/>
              <w:left w:w="10" w:type="dxa"/>
              <w:right w:w="10" w:type="dxa"/>
            </w:tcMar>
            <w:vAlign w:val="top"/>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c>
          <w:tcPr>
            <w:tcW w:w="377" w:type="dxa"/>
            <w:noWrap w:val="0"/>
            <w:tcMar>
              <w:top w:w="10" w:type="dxa"/>
              <w:left w:w="10" w:type="dxa"/>
              <w:right w:w="10" w:type="dxa"/>
            </w:tcMar>
            <w:vAlign w:val="top"/>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 w:hRule="atLeast"/>
        </w:trPr>
        <w:tc>
          <w:tcPr>
            <w:tcW w:w="548" w:type="dxa"/>
            <w:noWrap w:val="0"/>
            <w:tcMar>
              <w:top w:w="10" w:type="dxa"/>
              <w:left w:w="10" w:type="dxa"/>
              <w:right w:w="10" w:type="dxa"/>
            </w:tcMar>
            <w:vAlign w:val="center"/>
          </w:tcPr>
          <w:p>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sz w:val="21"/>
                <w:szCs w:val="21"/>
              </w:rPr>
            </w:pPr>
            <w:r>
              <w:rPr>
                <w:rFonts w:hint="eastAsia" w:ascii="宋体" w:hAnsi="宋体" w:eastAsia="宋体" w:cs="宋体"/>
                <w:color w:val="000000"/>
                <w:sz w:val="21"/>
                <w:szCs w:val="21"/>
              </w:rPr>
              <w:t>7</w:t>
            </w:r>
          </w:p>
        </w:tc>
        <w:tc>
          <w:tcPr>
            <w:tcW w:w="5835" w:type="dxa"/>
            <w:noWrap w:val="0"/>
            <w:tcMar>
              <w:top w:w="10" w:type="dxa"/>
              <w:left w:w="10" w:type="dxa"/>
              <w:right w:w="10" w:type="dxa"/>
            </w:tcMar>
            <w:vAlign w:val="top"/>
          </w:tcPr>
          <w:p>
            <w:pPr>
              <w:pStyle w:val="7"/>
              <w:keepNext w:val="0"/>
              <w:keepLines w:val="0"/>
              <w:widowControl w:val="0"/>
              <w:suppressLineNumbers w:val="0"/>
              <w:ind w:left="0" w:leftChars="0" w:right="0" w:rightChars="0"/>
              <w:rPr>
                <w:rFonts w:hint="eastAsia" w:ascii="宋体" w:hAnsi="宋体" w:eastAsia="宋体" w:cs="宋体"/>
                <w:sz w:val="21"/>
                <w:szCs w:val="21"/>
              </w:rPr>
            </w:pPr>
            <w:r>
              <w:rPr>
                <w:rFonts w:hint="eastAsia" w:ascii="宋体" w:hAnsi="宋体" w:eastAsia="宋体" w:cs="宋体"/>
                <w:color w:val="000000"/>
                <w:kern w:val="0"/>
                <w:sz w:val="21"/>
                <w:szCs w:val="21"/>
              </w:rPr>
              <w:t>享受零税率到主管税务机关办理增值税免抵退税或免退税申报时需报送的材料和原始凭证</w:t>
            </w:r>
          </w:p>
        </w:tc>
        <w:tc>
          <w:tcPr>
            <w:tcW w:w="413" w:type="dxa"/>
            <w:noWrap w:val="0"/>
            <w:tcMar>
              <w:top w:w="10" w:type="dxa"/>
              <w:left w:w="10" w:type="dxa"/>
              <w:right w:w="10" w:type="dxa"/>
            </w:tcMar>
            <w:vAlign w:val="top"/>
          </w:tcPr>
          <w:p>
            <w:pPr>
              <w:pStyle w:val="8"/>
              <w:keepNext w:val="0"/>
              <w:keepLines w:val="0"/>
              <w:widowControl w:val="0"/>
              <w:suppressLineNumbers w:val="0"/>
              <w:ind w:left="0" w:leftChars="0" w:right="0" w:rightChars="0" w:firstLine="0" w:firstLineChars="0"/>
              <w:rPr>
                <w:rFonts w:hint="eastAsia" w:ascii="宋体" w:hAnsi="宋体" w:eastAsia="宋体" w:cs="宋体"/>
                <w:sz w:val="21"/>
                <w:szCs w:val="21"/>
              </w:rPr>
            </w:pPr>
          </w:p>
        </w:tc>
        <w:tc>
          <w:tcPr>
            <w:tcW w:w="400" w:type="dxa"/>
            <w:noWrap w:val="0"/>
            <w:tcMar>
              <w:top w:w="10" w:type="dxa"/>
              <w:left w:w="10" w:type="dxa"/>
              <w:right w:w="10" w:type="dxa"/>
            </w:tcMar>
            <w:vAlign w:val="top"/>
          </w:tcPr>
          <w:p>
            <w:pPr>
              <w:pStyle w:val="8"/>
              <w:keepNext w:val="0"/>
              <w:keepLines w:val="0"/>
              <w:widowControl w:val="0"/>
              <w:suppressLineNumbers w:val="0"/>
              <w:ind w:left="0" w:leftChars="0" w:right="0" w:rightChars="0" w:firstLine="0" w:firstLineChars="0"/>
              <w:rPr>
                <w:rFonts w:hint="eastAsia" w:ascii="宋体" w:hAnsi="宋体" w:eastAsia="宋体" w:cs="宋体"/>
                <w:sz w:val="21"/>
                <w:szCs w:val="21"/>
              </w:rPr>
            </w:pPr>
            <w:r>
              <w:rPr>
                <w:rFonts w:hint="eastAsia" w:ascii="宋体" w:hAnsi="宋体" w:eastAsia="宋体" w:cs="宋体"/>
                <w:color w:val="000000"/>
                <w:kern w:val="2"/>
                <w:sz w:val="21"/>
                <w:szCs w:val="21"/>
              </w:rPr>
              <w:t>√</w:t>
            </w:r>
          </w:p>
        </w:tc>
        <w:tc>
          <w:tcPr>
            <w:tcW w:w="423" w:type="dxa"/>
            <w:noWrap w:val="0"/>
            <w:tcMar>
              <w:top w:w="10" w:type="dxa"/>
              <w:left w:w="10" w:type="dxa"/>
              <w:right w:w="10" w:type="dxa"/>
            </w:tcMar>
            <w:vAlign w:val="top"/>
          </w:tcPr>
          <w:p>
            <w:pPr>
              <w:pStyle w:val="8"/>
              <w:keepNext w:val="0"/>
              <w:keepLines w:val="0"/>
              <w:widowControl w:val="0"/>
              <w:suppressLineNumbers w:val="0"/>
              <w:ind w:left="0" w:leftChars="0" w:right="0" w:rightChars="0" w:firstLine="0" w:firstLineChars="0"/>
              <w:rPr>
                <w:rFonts w:hint="eastAsia" w:ascii="宋体" w:hAnsi="宋体" w:eastAsia="宋体" w:cs="宋体"/>
                <w:sz w:val="21"/>
                <w:szCs w:val="21"/>
              </w:rPr>
            </w:pPr>
          </w:p>
        </w:tc>
        <w:tc>
          <w:tcPr>
            <w:tcW w:w="423" w:type="dxa"/>
            <w:noWrap w:val="0"/>
            <w:tcMar>
              <w:top w:w="10" w:type="dxa"/>
              <w:left w:w="10" w:type="dxa"/>
              <w:right w:w="10" w:type="dxa"/>
            </w:tcMar>
            <w:vAlign w:val="top"/>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c>
          <w:tcPr>
            <w:tcW w:w="377" w:type="dxa"/>
            <w:noWrap w:val="0"/>
            <w:tcMar>
              <w:top w:w="10" w:type="dxa"/>
              <w:left w:w="10" w:type="dxa"/>
              <w:right w:w="10" w:type="dxa"/>
            </w:tcMar>
            <w:vAlign w:val="top"/>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c>
          <w:tcPr>
            <w:tcW w:w="377" w:type="dxa"/>
            <w:noWrap w:val="0"/>
            <w:tcMar>
              <w:top w:w="10" w:type="dxa"/>
              <w:left w:w="10" w:type="dxa"/>
              <w:right w:w="10" w:type="dxa"/>
            </w:tcMar>
            <w:vAlign w:val="top"/>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 w:hRule="atLeast"/>
        </w:trPr>
        <w:tc>
          <w:tcPr>
            <w:tcW w:w="548" w:type="dxa"/>
            <w:noWrap w:val="0"/>
            <w:tcMar>
              <w:top w:w="10" w:type="dxa"/>
              <w:left w:w="10" w:type="dxa"/>
              <w:right w:w="10" w:type="dxa"/>
            </w:tcMar>
            <w:vAlign w:val="center"/>
          </w:tcPr>
          <w:p>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sz w:val="21"/>
                <w:szCs w:val="21"/>
              </w:rPr>
            </w:pPr>
            <w:r>
              <w:rPr>
                <w:rFonts w:hint="eastAsia" w:ascii="宋体" w:hAnsi="宋体" w:eastAsia="宋体" w:cs="宋体"/>
                <w:color w:val="000000"/>
                <w:sz w:val="21"/>
                <w:szCs w:val="21"/>
              </w:rPr>
              <w:t>8</w:t>
            </w:r>
          </w:p>
        </w:tc>
        <w:tc>
          <w:tcPr>
            <w:tcW w:w="5835" w:type="dxa"/>
            <w:noWrap w:val="0"/>
            <w:tcMar>
              <w:top w:w="10" w:type="dxa"/>
              <w:left w:w="10" w:type="dxa"/>
              <w:right w:w="10" w:type="dxa"/>
            </w:tcMar>
            <w:vAlign w:val="top"/>
          </w:tcPr>
          <w:p>
            <w:pPr>
              <w:pStyle w:val="7"/>
              <w:keepNext w:val="0"/>
              <w:keepLines w:val="0"/>
              <w:widowControl w:val="0"/>
              <w:suppressLineNumbers w:val="0"/>
              <w:ind w:left="0" w:leftChars="0" w:right="0" w:rightChars="0"/>
              <w:rPr>
                <w:rFonts w:hint="eastAsia" w:ascii="宋体" w:hAnsi="宋体" w:eastAsia="宋体" w:cs="宋体"/>
                <w:sz w:val="21"/>
                <w:szCs w:val="21"/>
              </w:rPr>
            </w:pPr>
            <w:r>
              <w:rPr>
                <w:rFonts w:hint="eastAsia" w:ascii="宋体" w:hAnsi="宋体" w:eastAsia="宋体" w:cs="宋体"/>
                <w:color w:val="000000"/>
                <w:kern w:val="0"/>
                <w:sz w:val="21"/>
                <w:szCs w:val="21"/>
              </w:rPr>
              <w:t>关于纳税人基本情况和业务介绍的说明</w:t>
            </w:r>
          </w:p>
        </w:tc>
        <w:tc>
          <w:tcPr>
            <w:tcW w:w="413" w:type="dxa"/>
            <w:noWrap w:val="0"/>
            <w:tcMar>
              <w:top w:w="10" w:type="dxa"/>
              <w:left w:w="10" w:type="dxa"/>
              <w:right w:w="10" w:type="dxa"/>
            </w:tcMar>
            <w:vAlign w:val="top"/>
          </w:tcPr>
          <w:p>
            <w:pPr>
              <w:pStyle w:val="8"/>
              <w:keepNext w:val="0"/>
              <w:keepLines w:val="0"/>
              <w:widowControl w:val="0"/>
              <w:suppressLineNumbers w:val="0"/>
              <w:ind w:left="0" w:leftChars="0" w:right="0" w:rightChars="0" w:firstLine="0" w:firstLineChars="0"/>
              <w:rPr>
                <w:rFonts w:hint="eastAsia" w:ascii="宋体" w:hAnsi="宋体" w:eastAsia="宋体" w:cs="宋体"/>
                <w:sz w:val="21"/>
                <w:szCs w:val="21"/>
              </w:rPr>
            </w:pPr>
          </w:p>
        </w:tc>
        <w:tc>
          <w:tcPr>
            <w:tcW w:w="400" w:type="dxa"/>
            <w:noWrap w:val="0"/>
            <w:tcMar>
              <w:top w:w="10" w:type="dxa"/>
              <w:left w:w="10" w:type="dxa"/>
              <w:right w:w="10" w:type="dxa"/>
            </w:tcMar>
            <w:vAlign w:val="top"/>
          </w:tcPr>
          <w:p>
            <w:pPr>
              <w:pStyle w:val="8"/>
              <w:keepNext w:val="0"/>
              <w:keepLines w:val="0"/>
              <w:widowControl w:val="0"/>
              <w:suppressLineNumbers w:val="0"/>
              <w:ind w:left="0" w:leftChars="0" w:right="0" w:rightChars="0" w:firstLine="0" w:firstLineChars="0"/>
              <w:rPr>
                <w:rFonts w:hint="eastAsia" w:ascii="宋体" w:hAnsi="宋体" w:eastAsia="宋体" w:cs="宋体"/>
                <w:sz w:val="21"/>
                <w:szCs w:val="21"/>
              </w:rPr>
            </w:pPr>
            <w:r>
              <w:rPr>
                <w:rFonts w:hint="eastAsia" w:ascii="宋体" w:hAnsi="宋体" w:eastAsia="宋体" w:cs="宋体"/>
                <w:color w:val="000000"/>
                <w:kern w:val="2"/>
                <w:sz w:val="21"/>
                <w:szCs w:val="21"/>
              </w:rPr>
              <w:t>√</w:t>
            </w:r>
          </w:p>
        </w:tc>
        <w:tc>
          <w:tcPr>
            <w:tcW w:w="423" w:type="dxa"/>
            <w:noWrap w:val="0"/>
            <w:tcMar>
              <w:top w:w="10" w:type="dxa"/>
              <w:left w:w="10" w:type="dxa"/>
              <w:right w:w="10" w:type="dxa"/>
            </w:tcMar>
            <w:vAlign w:val="top"/>
          </w:tcPr>
          <w:p>
            <w:pPr>
              <w:pStyle w:val="8"/>
              <w:keepNext w:val="0"/>
              <w:keepLines w:val="0"/>
              <w:widowControl w:val="0"/>
              <w:suppressLineNumbers w:val="0"/>
              <w:ind w:left="0" w:leftChars="0" w:right="0" w:rightChars="0" w:firstLine="0" w:firstLineChars="0"/>
              <w:rPr>
                <w:rFonts w:hint="eastAsia" w:ascii="宋体" w:hAnsi="宋体" w:eastAsia="宋体" w:cs="宋体"/>
                <w:sz w:val="21"/>
                <w:szCs w:val="21"/>
              </w:rPr>
            </w:pPr>
            <w:r>
              <w:rPr>
                <w:rFonts w:hint="eastAsia" w:ascii="宋体" w:hAnsi="宋体" w:eastAsia="宋体" w:cs="宋体"/>
                <w:color w:val="000000"/>
                <w:kern w:val="2"/>
                <w:sz w:val="21"/>
                <w:szCs w:val="21"/>
              </w:rPr>
              <w:t>√</w:t>
            </w:r>
          </w:p>
        </w:tc>
        <w:tc>
          <w:tcPr>
            <w:tcW w:w="423" w:type="dxa"/>
            <w:noWrap w:val="0"/>
            <w:tcMar>
              <w:top w:w="10" w:type="dxa"/>
              <w:left w:w="10" w:type="dxa"/>
              <w:right w:w="10" w:type="dxa"/>
            </w:tcMar>
            <w:vAlign w:val="top"/>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c>
          <w:tcPr>
            <w:tcW w:w="377" w:type="dxa"/>
            <w:noWrap w:val="0"/>
            <w:tcMar>
              <w:top w:w="10" w:type="dxa"/>
              <w:left w:w="10" w:type="dxa"/>
              <w:right w:w="10" w:type="dxa"/>
            </w:tcMar>
            <w:vAlign w:val="top"/>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c>
          <w:tcPr>
            <w:tcW w:w="377" w:type="dxa"/>
            <w:noWrap w:val="0"/>
            <w:tcMar>
              <w:top w:w="10" w:type="dxa"/>
              <w:left w:w="10" w:type="dxa"/>
              <w:right w:w="10" w:type="dxa"/>
            </w:tcMar>
            <w:vAlign w:val="top"/>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11" w:hRule="atLeast"/>
        </w:trPr>
        <w:tc>
          <w:tcPr>
            <w:tcW w:w="548" w:type="dxa"/>
            <w:noWrap w:val="0"/>
            <w:tcMar>
              <w:top w:w="10" w:type="dxa"/>
              <w:left w:w="10" w:type="dxa"/>
              <w:right w:w="10" w:type="dxa"/>
            </w:tcMar>
            <w:vAlign w:val="center"/>
          </w:tcPr>
          <w:p>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sz w:val="21"/>
                <w:szCs w:val="21"/>
              </w:rPr>
            </w:pPr>
            <w:r>
              <w:rPr>
                <w:rFonts w:hint="eastAsia" w:ascii="宋体" w:hAnsi="宋体" w:eastAsia="宋体" w:cs="宋体"/>
                <w:color w:val="000000"/>
                <w:sz w:val="21"/>
                <w:szCs w:val="21"/>
              </w:rPr>
              <w:t>9</w:t>
            </w:r>
          </w:p>
        </w:tc>
        <w:tc>
          <w:tcPr>
            <w:tcW w:w="5835" w:type="dxa"/>
            <w:noWrap w:val="0"/>
            <w:tcMar>
              <w:top w:w="10" w:type="dxa"/>
              <w:left w:w="10" w:type="dxa"/>
              <w:right w:w="10" w:type="dxa"/>
            </w:tcMar>
            <w:vAlign w:val="top"/>
          </w:tcPr>
          <w:p>
            <w:pPr>
              <w:pStyle w:val="7"/>
              <w:keepNext w:val="0"/>
              <w:keepLines w:val="0"/>
              <w:widowControl w:val="0"/>
              <w:suppressLineNumbers w:val="0"/>
              <w:ind w:left="0" w:leftChars="0" w:right="0" w:rightChars="0"/>
              <w:rPr>
                <w:rFonts w:hint="eastAsia" w:ascii="宋体" w:hAnsi="宋体" w:eastAsia="宋体" w:cs="宋体"/>
                <w:sz w:val="21"/>
                <w:szCs w:val="21"/>
              </w:rPr>
            </w:pPr>
            <w:r>
              <w:rPr>
                <w:rFonts w:hint="eastAsia" w:ascii="宋体" w:hAnsi="宋体" w:eastAsia="宋体" w:cs="宋体"/>
                <w:color w:val="000000"/>
                <w:kern w:val="0"/>
                <w:sz w:val="21"/>
                <w:szCs w:val="21"/>
              </w:rPr>
              <w:t>依据的税收协定或国际运输协定复印件</w:t>
            </w:r>
          </w:p>
        </w:tc>
        <w:tc>
          <w:tcPr>
            <w:tcW w:w="413" w:type="dxa"/>
            <w:noWrap w:val="0"/>
            <w:tcMar>
              <w:top w:w="10" w:type="dxa"/>
              <w:left w:w="10" w:type="dxa"/>
              <w:right w:w="10" w:type="dxa"/>
            </w:tcMar>
            <w:vAlign w:val="top"/>
          </w:tcPr>
          <w:p>
            <w:pPr>
              <w:pStyle w:val="8"/>
              <w:keepNext w:val="0"/>
              <w:keepLines w:val="0"/>
              <w:widowControl w:val="0"/>
              <w:suppressLineNumbers w:val="0"/>
              <w:ind w:left="0" w:leftChars="0" w:right="0" w:rightChars="0" w:firstLine="0" w:firstLineChars="0"/>
              <w:rPr>
                <w:rFonts w:hint="eastAsia" w:ascii="宋体" w:hAnsi="宋体" w:eastAsia="宋体" w:cs="宋体"/>
                <w:sz w:val="21"/>
                <w:szCs w:val="21"/>
              </w:rPr>
            </w:pPr>
          </w:p>
        </w:tc>
        <w:tc>
          <w:tcPr>
            <w:tcW w:w="400" w:type="dxa"/>
            <w:noWrap w:val="0"/>
            <w:tcMar>
              <w:top w:w="10" w:type="dxa"/>
              <w:left w:w="10" w:type="dxa"/>
              <w:right w:w="10" w:type="dxa"/>
            </w:tcMar>
            <w:vAlign w:val="top"/>
          </w:tcPr>
          <w:p>
            <w:pPr>
              <w:pStyle w:val="8"/>
              <w:keepNext w:val="0"/>
              <w:keepLines w:val="0"/>
              <w:widowControl w:val="0"/>
              <w:suppressLineNumbers w:val="0"/>
              <w:ind w:left="0" w:leftChars="0" w:right="0" w:rightChars="0" w:firstLine="0" w:firstLineChars="0"/>
              <w:rPr>
                <w:rFonts w:hint="eastAsia" w:ascii="宋体" w:hAnsi="宋体" w:eastAsia="宋体" w:cs="宋体"/>
                <w:sz w:val="21"/>
                <w:szCs w:val="21"/>
              </w:rPr>
            </w:pPr>
            <w:r>
              <w:rPr>
                <w:rFonts w:hint="eastAsia" w:ascii="宋体" w:hAnsi="宋体" w:eastAsia="宋体" w:cs="宋体"/>
                <w:color w:val="000000"/>
                <w:kern w:val="2"/>
                <w:sz w:val="21"/>
                <w:szCs w:val="21"/>
              </w:rPr>
              <w:t>√</w:t>
            </w:r>
          </w:p>
        </w:tc>
        <w:tc>
          <w:tcPr>
            <w:tcW w:w="423" w:type="dxa"/>
            <w:noWrap w:val="0"/>
            <w:tcMar>
              <w:top w:w="10" w:type="dxa"/>
              <w:left w:w="10" w:type="dxa"/>
              <w:right w:w="10" w:type="dxa"/>
            </w:tcMar>
            <w:vAlign w:val="top"/>
          </w:tcPr>
          <w:p>
            <w:pPr>
              <w:pStyle w:val="8"/>
              <w:keepNext w:val="0"/>
              <w:keepLines w:val="0"/>
              <w:widowControl w:val="0"/>
              <w:suppressLineNumbers w:val="0"/>
              <w:ind w:left="0" w:leftChars="0" w:right="0" w:rightChars="0" w:firstLine="0" w:firstLineChars="0"/>
              <w:rPr>
                <w:rFonts w:hint="eastAsia" w:ascii="宋体" w:hAnsi="宋体" w:eastAsia="宋体" w:cs="宋体"/>
                <w:sz w:val="21"/>
                <w:szCs w:val="21"/>
              </w:rPr>
            </w:pPr>
            <w:r>
              <w:rPr>
                <w:rFonts w:hint="eastAsia" w:ascii="宋体" w:hAnsi="宋体" w:eastAsia="宋体" w:cs="宋体"/>
                <w:color w:val="000000"/>
                <w:kern w:val="2"/>
                <w:sz w:val="21"/>
                <w:szCs w:val="21"/>
              </w:rPr>
              <w:t>√</w:t>
            </w:r>
          </w:p>
        </w:tc>
        <w:tc>
          <w:tcPr>
            <w:tcW w:w="423" w:type="dxa"/>
            <w:noWrap w:val="0"/>
            <w:tcMar>
              <w:top w:w="10" w:type="dxa"/>
              <w:left w:w="10" w:type="dxa"/>
              <w:right w:w="10" w:type="dxa"/>
            </w:tcMar>
            <w:vAlign w:val="top"/>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c>
          <w:tcPr>
            <w:tcW w:w="377" w:type="dxa"/>
            <w:noWrap w:val="0"/>
            <w:tcMar>
              <w:top w:w="10" w:type="dxa"/>
              <w:left w:w="10" w:type="dxa"/>
              <w:right w:w="10" w:type="dxa"/>
            </w:tcMar>
            <w:vAlign w:val="top"/>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c>
          <w:tcPr>
            <w:tcW w:w="377" w:type="dxa"/>
            <w:noWrap w:val="0"/>
            <w:tcMar>
              <w:top w:w="10" w:type="dxa"/>
              <w:left w:w="10" w:type="dxa"/>
              <w:right w:w="10" w:type="dxa"/>
            </w:tcMar>
            <w:vAlign w:val="top"/>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548" w:type="dxa"/>
            <w:noWrap w:val="0"/>
            <w:tcMar>
              <w:top w:w="10" w:type="dxa"/>
              <w:left w:w="10" w:type="dxa"/>
              <w:right w:w="10" w:type="dxa"/>
            </w:tcMar>
            <w:vAlign w:val="center"/>
          </w:tcPr>
          <w:p>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sz w:val="21"/>
                <w:szCs w:val="21"/>
              </w:rPr>
            </w:pPr>
            <w:r>
              <w:rPr>
                <w:rFonts w:hint="eastAsia" w:ascii="宋体" w:hAnsi="宋体" w:eastAsia="宋体" w:cs="宋体"/>
                <w:color w:val="000000"/>
                <w:sz w:val="21"/>
                <w:szCs w:val="21"/>
              </w:rPr>
              <w:t>10</w:t>
            </w:r>
          </w:p>
        </w:tc>
        <w:tc>
          <w:tcPr>
            <w:tcW w:w="5835" w:type="dxa"/>
            <w:noWrap w:val="0"/>
            <w:tcMar>
              <w:top w:w="10" w:type="dxa"/>
              <w:left w:w="10" w:type="dxa"/>
              <w:right w:w="10" w:type="dxa"/>
            </w:tcMar>
            <w:vAlign w:val="top"/>
          </w:tcPr>
          <w:p>
            <w:pPr>
              <w:pStyle w:val="7"/>
              <w:keepNext w:val="0"/>
              <w:keepLines w:val="0"/>
              <w:widowControl w:val="0"/>
              <w:suppressLineNumbers w:val="0"/>
              <w:ind w:left="0" w:leftChars="0" w:right="0" w:rightChars="0"/>
              <w:rPr>
                <w:rFonts w:hint="eastAsia" w:ascii="宋体" w:hAnsi="宋体" w:eastAsia="宋体" w:cs="宋体"/>
                <w:sz w:val="21"/>
                <w:szCs w:val="21"/>
              </w:rPr>
            </w:pPr>
            <w:r>
              <w:rPr>
                <w:rFonts w:hint="eastAsia" w:ascii="宋体" w:hAnsi="宋体" w:eastAsia="宋体" w:cs="宋体"/>
                <w:color w:val="000000"/>
                <w:kern w:val="0"/>
                <w:sz w:val="21"/>
                <w:szCs w:val="21"/>
              </w:rPr>
              <w:t>出境业务人员的出境证件首页及出境记录页复印件</w:t>
            </w:r>
          </w:p>
        </w:tc>
        <w:tc>
          <w:tcPr>
            <w:tcW w:w="413" w:type="dxa"/>
            <w:noWrap w:val="0"/>
            <w:tcMar>
              <w:top w:w="10" w:type="dxa"/>
              <w:left w:w="10" w:type="dxa"/>
              <w:right w:w="10" w:type="dxa"/>
            </w:tcMar>
            <w:vAlign w:val="top"/>
          </w:tcPr>
          <w:p>
            <w:pPr>
              <w:pStyle w:val="8"/>
              <w:keepNext w:val="0"/>
              <w:keepLines w:val="0"/>
              <w:widowControl w:val="0"/>
              <w:suppressLineNumbers w:val="0"/>
              <w:ind w:left="0" w:leftChars="0" w:right="0" w:rightChars="0" w:firstLine="0" w:firstLineChars="0"/>
              <w:rPr>
                <w:rFonts w:hint="eastAsia" w:ascii="宋体" w:hAnsi="宋体" w:eastAsia="宋体" w:cs="宋体"/>
                <w:sz w:val="21"/>
                <w:szCs w:val="21"/>
              </w:rPr>
            </w:pPr>
          </w:p>
        </w:tc>
        <w:tc>
          <w:tcPr>
            <w:tcW w:w="400" w:type="dxa"/>
            <w:noWrap w:val="0"/>
            <w:tcMar>
              <w:top w:w="10" w:type="dxa"/>
              <w:left w:w="10" w:type="dxa"/>
              <w:right w:w="10" w:type="dxa"/>
            </w:tcMar>
            <w:vAlign w:val="top"/>
          </w:tcPr>
          <w:p>
            <w:pPr>
              <w:pStyle w:val="8"/>
              <w:keepNext w:val="0"/>
              <w:keepLines w:val="0"/>
              <w:widowControl w:val="0"/>
              <w:suppressLineNumbers w:val="0"/>
              <w:ind w:left="0" w:leftChars="0" w:right="0" w:rightChars="0" w:firstLine="0" w:firstLineChars="0"/>
              <w:rPr>
                <w:rFonts w:hint="eastAsia" w:ascii="宋体" w:hAnsi="宋体" w:eastAsia="宋体" w:cs="宋体"/>
                <w:sz w:val="21"/>
                <w:szCs w:val="21"/>
              </w:rPr>
            </w:pPr>
            <w:r>
              <w:rPr>
                <w:rFonts w:hint="eastAsia" w:ascii="宋体" w:hAnsi="宋体" w:eastAsia="宋体" w:cs="宋体"/>
                <w:color w:val="000000"/>
                <w:kern w:val="2"/>
                <w:sz w:val="21"/>
                <w:szCs w:val="21"/>
              </w:rPr>
              <w:t>√</w:t>
            </w:r>
          </w:p>
        </w:tc>
        <w:tc>
          <w:tcPr>
            <w:tcW w:w="423" w:type="dxa"/>
            <w:noWrap w:val="0"/>
            <w:tcMar>
              <w:top w:w="10" w:type="dxa"/>
              <w:left w:w="10" w:type="dxa"/>
              <w:right w:w="10" w:type="dxa"/>
            </w:tcMar>
            <w:vAlign w:val="top"/>
          </w:tcPr>
          <w:p>
            <w:pPr>
              <w:pStyle w:val="8"/>
              <w:keepNext w:val="0"/>
              <w:keepLines w:val="0"/>
              <w:widowControl w:val="0"/>
              <w:suppressLineNumbers w:val="0"/>
              <w:ind w:left="0" w:leftChars="0" w:right="0" w:rightChars="0" w:firstLine="0" w:firstLineChars="0"/>
              <w:rPr>
                <w:rFonts w:hint="eastAsia" w:ascii="宋体" w:hAnsi="宋体" w:eastAsia="宋体" w:cs="宋体"/>
                <w:sz w:val="21"/>
                <w:szCs w:val="21"/>
              </w:rPr>
            </w:pPr>
            <w:r>
              <w:rPr>
                <w:rFonts w:hint="eastAsia" w:ascii="宋体" w:hAnsi="宋体" w:eastAsia="宋体" w:cs="宋体"/>
                <w:color w:val="000000"/>
                <w:kern w:val="2"/>
                <w:sz w:val="21"/>
                <w:szCs w:val="21"/>
              </w:rPr>
              <w:t>√</w:t>
            </w:r>
          </w:p>
        </w:tc>
        <w:tc>
          <w:tcPr>
            <w:tcW w:w="423" w:type="dxa"/>
            <w:noWrap w:val="0"/>
            <w:tcMar>
              <w:top w:w="10" w:type="dxa"/>
              <w:left w:w="10" w:type="dxa"/>
              <w:right w:w="10" w:type="dxa"/>
            </w:tcMar>
            <w:vAlign w:val="top"/>
          </w:tcPr>
          <w:p>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sz w:val="21"/>
                <w:szCs w:val="21"/>
              </w:rPr>
            </w:pPr>
          </w:p>
        </w:tc>
        <w:tc>
          <w:tcPr>
            <w:tcW w:w="377" w:type="dxa"/>
            <w:noWrap w:val="0"/>
            <w:tcMar>
              <w:top w:w="10" w:type="dxa"/>
              <w:left w:w="10" w:type="dxa"/>
              <w:right w:w="10" w:type="dxa"/>
            </w:tcMar>
            <w:vAlign w:val="top"/>
          </w:tcPr>
          <w:p>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sz w:val="21"/>
                <w:szCs w:val="21"/>
              </w:rPr>
            </w:pPr>
          </w:p>
        </w:tc>
        <w:tc>
          <w:tcPr>
            <w:tcW w:w="377" w:type="dxa"/>
            <w:noWrap w:val="0"/>
            <w:tcMar>
              <w:top w:w="10" w:type="dxa"/>
              <w:left w:w="10" w:type="dxa"/>
              <w:right w:w="10" w:type="dxa"/>
            </w:tcMar>
            <w:vAlign w:val="top"/>
          </w:tcPr>
          <w:p>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64" w:hRule="atLeast"/>
        </w:trPr>
        <w:tc>
          <w:tcPr>
            <w:tcW w:w="548" w:type="dxa"/>
            <w:noWrap w:val="0"/>
            <w:tcMar>
              <w:top w:w="10" w:type="dxa"/>
              <w:left w:w="10" w:type="dxa"/>
              <w:right w:w="10" w:type="dxa"/>
            </w:tcMar>
            <w:vAlign w:val="center"/>
          </w:tcPr>
          <w:p>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sz w:val="21"/>
                <w:szCs w:val="21"/>
              </w:rPr>
            </w:pPr>
            <w:r>
              <w:rPr>
                <w:rFonts w:hint="eastAsia" w:ascii="宋体" w:hAnsi="宋体" w:eastAsia="宋体" w:cs="宋体"/>
                <w:color w:val="000000"/>
                <w:sz w:val="21"/>
                <w:szCs w:val="21"/>
              </w:rPr>
              <w:t>11</w:t>
            </w:r>
          </w:p>
        </w:tc>
        <w:tc>
          <w:tcPr>
            <w:tcW w:w="5835" w:type="dxa"/>
            <w:noWrap w:val="0"/>
            <w:tcMar>
              <w:top w:w="10" w:type="dxa"/>
              <w:left w:w="10" w:type="dxa"/>
              <w:right w:w="10" w:type="dxa"/>
            </w:tcMar>
            <w:vAlign w:val="top"/>
          </w:tcPr>
          <w:p>
            <w:pPr>
              <w:pStyle w:val="7"/>
              <w:keepNext w:val="0"/>
              <w:keepLines w:val="0"/>
              <w:widowControl w:val="0"/>
              <w:suppressLineNumbers w:val="0"/>
              <w:ind w:left="0" w:leftChars="0" w:right="0" w:rightChars="0"/>
              <w:rPr>
                <w:rFonts w:hint="eastAsia" w:ascii="宋体" w:hAnsi="宋体" w:eastAsia="宋体" w:cs="宋体"/>
                <w:sz w:val="21"/>
                <w:szCs w:val="21"/>
              </w:rPr>
            </w:pPr>
            <w:r>
              <w:rPr>
                <w:rFonts w:hint="eastAsia" w:ascii="宋体" w:hAnsi="宋体" w:eastAsia="宋体" w:cs="宋体"/>
                <w:color w:val="000000"/>
                <w:kern w:val="0"/>
                <w:sz w:val="21"/>
                <w:szCs w:val="21"/>
              </w:rPr>
              <w:t>旅游服务购买方的出境证件首页及出境记录页复印件</w:t>
            </w:r>
          </w:p>
        </w:tc>
        <w:tc>
          <w:tcPr>
            <w:tcW w:w="413" w:type="dxa"/>
            <w:noWrap w:val="0"/>
            <w:tcMar>
              <w:top w:w="10" w:type="dxa"/>
              <w:left w:w="10" w:type="dxa"/>
              <w:right w:w="10" w:type="dxa"/>
            </w:tcMar>
            <w:vAlign w:val="top"/>
          </w:tcPr>
          <w:p>
            <w:pPr>
              <w:pStyle w:val="8"/>
              <w:keepNext w:val="0"/>
              <w:keepLines w:val="0"/>
              <w:widowControl w:val="0"/>
              <w:suppressLineNumbers w:val="0"/>
              <w:ind w:left="0" w:leftChars="0" w:right="0" w:rightChars="0" w:firstLine="0" w:firstLineChars="0"/>
              <w:rPr>
                <w:rFonts w:hint="eastAsia" w:ascii="宋体" w:hAnsi="宋体" w:eastAsia="宋体" w:cs="宋体"/>
                <w:sz w:val="21"/>
                <w:szCs w:val="21"/>
              </w:rPr>
            </w:pPr>
          </w:p>
        </w:tc>
        <w:tc>
          <w:tcPr>
            <w:tcW w:w="400" w:type="dxa"/>
            <w:noWrap w:val="0"/>
            <w:tcMar>
              <w:top w:w="10" w:type="dxa"/>
              <w:left w:w="10" w:type="dxa"/>
              <w:right w:w="10" w:type="dxa"/>
            </w:tcMar>
            <w:vAlign w:val="top"/>
          </w:tcPr>
          <w:p>
            <w:pPr>
              <w:pStyle w:val="8"/>
              <w:keepNext w:val="0"/>
              <w:keepLines w:val="0"/>
              <w:widowControl w:val="0"/>
              <w:suppressLineNumbers w:val="0"/>
              <w:ind w:left="0" w:leftChars="0" w:right="0" w:rightChars="0" w:firstLine="0" w:firstLineChars="0"/>
              <w:rPr>
                <w:rFonts w:hint="eastAsia" w:ascii="宋体" w:hAnsi="宋体" w:eastAsia="宋体" w:cs="宋体"/>
                <w:sz w:val="21"/>
                <w:szCs w:val="21"/>
              </w:rPr>
            </w:pPr>
            <w:r>
              <w:rPr>
                <w:rFonts w:hint="eastAsia" w:ascii="宋体" w:hAnsi="宋体" w:eastAsia="宋体" w:cs="宋体"/>
                <w:color w:val="000000"/>
                <w:kern w:val="2"/>
                <w:sz w:val="21"/>
                <w:szCs w:val="21"/>
              </w:rPr>
              <w:t>√</w:t>
            </w:r>
          </w:p>
        </w:tc>
        <w:tc>
          <w:tcPr>
            <w:tcW w:w="423" w:type="dxa"/>
            <w:noWrap w:val="0"/>
            <w:tcMar>
              <w:top w:w="10" w:type="dxa"/>
              <w:left w:w="10" w:type="dxa"/>
              <w:right w:w="10" w:type="dxa"/>
            </w:tcMar>
            <w:vAlign w:val="top"/>
          </w:tcPr>
          <w:p>
            <w:pPr>
              <w:pStyle w:val="8"/>
              <w:keepNext w:val="0"/>
              <w:keepLines w:val="0"/>
              <w:widowControl w:val="0"/>
              <w:suppressLineNumbers w:val="0"/>
              <w:ind w:left="0" w:leftChars="0" w:right="0" w:rightChars="0" w:firstLine="0" w:firstLineChars="0"/>
              <w:rPr>
                <w:rFonts w:hint="eastAsia" w:ascii="宋体" w:hAnsi="宋体" w:eastAsia="宋体" w:cs="宋体"/>
                <w:sz w:val="21"/>
                <w:szCs w:val="21"/>
              </w:rPr>
            </w:pPr>
            <w:r>
              <w:rPr>
                <w:rFonts w:hint="eastAsia" w:ascii="宋体" w:hAnsi="宋体" w:eastAsia="宋体" w:cs="宋体"/>
                <w:color w:val="000000"/>
                <w:kern w:val="2"/>
                <w:sz w:val="21"/>
                <w:szCs w:val="21"/>
              </w:rPr>
              <w:t>√</w:t>
            </w:r>
          </w:p>
        </w:tc>
        <w:tc>
          <w:tcPr>
            <w:tcW w:w="423" w:type="dxa"/>
            <w:noWrap w:val="0"/>
            <w:tcMar>
              <w:top w:w="10" w:type="dxa"/>
              <w:left w:w="10" w:type="dxa"/>
              <w:right w:w="10" w:type="dxa"/>
            </w:tcMar>
            <w:vAlign w:val="top"/>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c>
          <w:tcPr>
            <w:tcW w:w="377" w:type="dxa"/>
            <w:noWrap w:val="0"/>
            <w:tcMar>
              <w:top w:w="10" w:type="dxa"/>
              <w:left w:w="10" w:type="dxa"/>
              <w:right w:w="10" w:type="dxa"/>
            </w:tcMar>
            <w:vAlign w:val="top"/>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c>
          <w:tcPr>
            <w:tcW w:w="377" w:type="dxa"/>
            <w:noWrap w:val="0"/>
            <w:tcMar>
              <w:top w:w="10" w:type="dxa"/>
              <w:left w:w="10" w:type="dxa"/>
              <w:right w:w="10" w:type="dxa"/>
            </w:tcMar>
            <w:vAlign w:val="top"/>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548" w:type="dxa"/>
            <w:noWrap w:val="0"/>
            <w:tcMar>
              <w:top w:w="10" w:type="dxa"/>
              <w:left w:w="10" w:type="dxa"/>
              <w:right w:w="10" w:type="dxa"/>
            </w:tcMar>
            <w:vAlign w:val="center"/>
          </w:tcPr>
          <w:p>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sz w:val="21"/>
                <w:szCs w:val="21"/>
              </w:rPr>
            </w:pPr>
            <w:r>
              <w:rPr>
                <w:rFonts w:hint="eastAsia" w:ascii="宋体" w:hAnsi="宋体" w:eastAsia="宋体" w:cs="宋体"/>
                <w:color w:val="000000"/>
                <w:sz w:val="21"/>
                <w:szCs w:val="21"/>
              </w:rPr>
              <w:t>12</w:t>
            </w:r>
          </w:p>
        </w:tc>
        <w:tc>
          <w:tcPr>
            <w:tcW w:w="5835" w:type="dxa"/>
            <w:noWrap w:val="0"/>
            <w:tcMar>
              <w:top w:w="10" w:type="dxa"/>
              <w:left w:w="10" w:type="dxa"/>
              <w:right w:w="10" w:type="dxa"/>
            </w:tcMar>
            <w:vAlign w:val="top"/>
          </w:tcPr>
          <w:p>
            <w:pPr>
              <w:pStyle w:val="7"/>
              <w:keepNext w:val="0"/>
              <w:keepLines w:val="0"/>
              <w:widowControl w:val="0"/>
              <w:suppressLineNumbers w:val="0"/>
              <w:ind w:left="0" w:leftChars="0" w:right="0" w:rightChars="0"/>
              <w:rPr>
                <w:rFonts w:hint="eastAsia" w:ascii="宋体" w:hAnsi="宋体" w:eastAsia="宋体" w:cs="宋体"/>
                <w:sz w:val="21"/>
                <w:szCs w:val="21"/>
              </w:rPr>
            </w:pPr>
            <w:r>
              <w:rPr>
                <w:rFonts w:hint="eastAsia" w:ascii="宋体" w:hAnsi="宋体" w:eastAsia="宋体" w:cs="宋体"/>
                <w:color w:val="000000"/>
                <w:kern w:val="0"/>
                <w:sz w:val="21"/>
                <w:szCs w:val="21"/>
              </w:rPr>
              <w:t>其他</w:t>
            </w:r>
          </w:p>
        </w:tc>
        <w:tc>
          <w:tcPr>
            <w:tcW w:w="413" w:type="dxa"/>
            <w:noWrap w:val="0"/>
            <w:tcMar>
              <w:top w:w="10" w:type="dxa"/>
              <w:left w:w="10" w:type="dxa"/>
              <w:right w:w="10" w:type="dxa"/>
            </w:tcMar>
            <w:vAlign w:val="top"/>
          </w:tcPr>
          <w:p>
            <w:pPr>
              <w:pStyle w:val="8"/>
              <w:keepNext w:val="0"/>
              <w:keepLines w:val="0"/>
              <w:widowControl w:val="0"/>
              <w:suppressLineNumbers w:val="0"/>
              <w:ind w:left="0" w:leftChars="0" w:right="0" w:rightChars="0" w:firstLine="0" w:firstLineChars="0"/>
              <w:rPr>
                <w:rFonts w:hint="eastAsia" w:ascii="宋体" w:hAnsi="宋体" w:eastAsia="宋体" w:cs="宋体"/>
                <w:sz w:val="21"/>
                <w:szCs w:val="21"/>
              </w:rPr>
            </w:pPr>
          </w:p>
        </w:tc>
        <w:tc>
          <w:tcPr>
            <w:tcW w:w="400" w:type="dxa"/>
            <w:noWrap w:val="0"/>
            <w:tcMar>
              <w:top w:w="10" w:type="dxa"/>
              <w:left w:w="10" w:type="dxa"/>
              <w:right w:w="10" w:type="dxa"/>
            </w:tcMar>
            <w:vAlign w:val="top"/>
          </w:tcPr>
          <w:p>
            <w:pPr>
              <w:pStyle w:val="8"/>
              <w:keepNext w:val="0"/>
              <w:keepLines w:val="0"/>
              <w:widowControl w:val="0"/>
              <w:suppressLineNumbers w:val="0"/>
              <w:ind w:left="0" w:leftChars="0" w:right="0" w:rightChars="0" w:firstLine="0" w:firstLineChars="0"/>
              <w:rPr>
                <w:rFonts w:hint="eastAsia" w:ascii="宋体" w:hAnsi="宋体" w:eastAsia="宋体" w:cs="宋体"/>
                <w:sz w:val="21"/>
                <w:szCs w:val="21"/>
              </w:rPr>
            </w:pPr>
          </w:p>
        </w:tc>
        <w:tc>
          <w:tcPr>
            <w:tcW w:w="423" w:type="dxa"/>
            <w:noWrap w:val="0"/>
            <w:tcMar>
              <w:top w:w="10" w:type="dxa"/>
              <w:left w:w="10" w:type="dxa"/>
              <w:right w:w="10" w:type="dxa"/>
            </w:tcMar>
            <w:vAlign w:val="top"/>
          </w:tcPr>
          <w:p>
            <w:pPr>
              <w:pStyle w:val="8"/>
              <w:keepNext w:val="0"/>
              <w:keepLines w:val="0"/>
              <w:widowControl w:val="0"/>
              <w:suppressLineNumbers w:val="0"/>
              <w:ind w:left="0" w:leftChars="0" w:right="0" w:rightChars="0" w:firstLine="0" w:firstLineChars="0"/>
              <w:rPr>
                <w:rFonts w:hint="eastAsia" w:ascii="宋体" w:hAnsi="宋体" w:eastAsia="宋体" w:cs="宋体"/>
                <w:sz w:val="21"/>
                <w:szCs w:val="21"/>
              </w:rPr>
            </w:pPr>
            <w:r>
              <w:rPr>
                <w:rFonts w:hint="eastAsia" w:ascii="宋体" w:hAnsi="宋体" w:eastAsia="宋体" w:cs="宋体"/>
                <w:color w:val="000000"/>
                <w:kern w:val="2"/>
                <w:sz w:val="21"/>
                <w:szCs w:val="21"/>
              </w:rPr>
              <w:t>√</w:t>
            </w:r>
          </w:p>
        </w:tc>
        <w:tc>
          <w:tcPr>
            <w:tcW w:w="423" w:type="dxa"/>
            <w:noWrap w:val="0"/>
            <w:tcMar>
              <w:top w:w="10" w:type="dxa"/>
              <w:left w:w="10" w:type="dxa"/>
              <w:right w:w="10" w:type="dxa"/>
            </w:tcMar>
            <w:vAlign w:val="top"/>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c>
          <w:tcPr>
            <w:tcW w:w="377" w:type="dxa"/>
            <w:noWrap w:val="0"/>
            <w:tcMar>
              <w:top w:w="10" w:type="dxa"/>
              <w:left w:w="10" w:type="dxa"/>
              <w:right w:w="10" w:type="dxa"/>
            </w:tcMar>
            <w:vAlign w:val="top"/>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c>
          <w:tcPr>
            <w:tcW w:w="377" w:type="dxa"/>
            <w:noWrap w:val="0"/>
            <w:tcMar>
              <w:top w:w="10" w:type="dxa"/>
              <w:left w:w="10" w:type="dxa"/>
              <w:right w:w="10" w:type="dxa"/>
            </w:tcMar>
            <w:vAlign w:val="top"/>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r>
    </w:tbl>
    <w:p>
      <w:pPr>
        <w:bidi w:val="0"/>
        <w:rPr>
          <w:rFonts w:hint="eastAsia"/>
        </w:rPr>
      </w:pPr>
    </w:p>
    <w:p>
      <w:pPr>
        <w:pStyle w:val="3"/>
        <w:ind w:firstLine="643" w:firstLineChars="200"/>
        <w:rPr>
          <w:rFonts w:hint="eastAsia"/>
          <w:sz w:val="32"/>
          <w:szCs w:val="32"/>
          <w:lang w:eastAsia="zh-Hans"/>
        </w:rPr>
      </w:pPr>
      <w:r>
        <w:rPr>
          <w:rFonts w:hint="eastAsia"/>
          <w:sz w:val="32"/>
          <w:szCs w:val="32"/>
        </w:rPr>
        <w:t>七、</w:t>
      </w:r>
      <w:r>
        <w:rPr>
          <w:rFonts w:hint="eastAsia"/>
          <w:sz w:val="32"/>
          <w:szCs w:val="32"/>
          <w:lang w:eastAsia="zh-Hans"/>
        </w:rPr>
        <w:t>注意事项</w:t>
      </w:r>
    </w:p>
    <w:p>
      <w:pPr>
        <w:ind w:firstLine="640" w:firstLineChars="200"/>
        <w:rPr>
          <w:rFonts w:hint="default" w:ascii="仿宋_GB2312" w:hAnsi="仿宋_GB2312" w:eastAsia="仿宋_GB2312" w:cs="仿宋_GB2312"/>
          <w:sz w:val="32"/>
          <w:szCs w:val="32"/>
          <w:lang w:val="en-US"/>
        </w:rPr>
      </w:pPr>
      <w:r>
        <w:rPr>
          <w:rFonts w:hint="default" w:ascii="仿宋_GB2312" w:hAnsi="仿宋_GB2312" w:eastAsia="仿宋_GB2312" w:cs="仿宋_GB2312"/>
          <w:sz w:val="32"/>
          <w:szCs w:val="32"/>
        </w:rPr>
        <w:t>1、纳税人状态为非正常、不属于跨区域税源登记、课征主体不是单位人的或纳税人同一属期</w:t>
      </w:r>
      <w:bookmarkStart w:id="0" w:name="_GoBack"/>
      <w:bookmarkEnd w:id="0"/>
      <w:r>
        <w:rPr>
          <w:rFonts w:hint="default" w:ascii="仿宋_GB2312" w:hAnsi="仿宋_GB2312" w:eastAsia="仿宋_GB2312" w:cs="仿宋_GB2312"/>
          <w:sz w:val="32"/>
          <w:szCs w:val="32"/>
        </w:rPr>
        <w:t>就同一税收减免事项进行过备案申请的，系统会阻断</w:t>
      </w:r>
      <w:r>
        <w:rPr>
          <w:rFonts w:hint="eastAsia" w:ascii="仿宋_GB2312" w:hAnsi="仿宋_GB2312" w:eastAsia="仿宋_GB2312" w:cs="仿宋_GB2312"/>
          <w:sz w:val="32"/>
          <w:szCs w:val="32"/>
          <w:lang w:val="en-US" w:eastAsia="zh-Hans"/>
        </w:rPr>
        <w:t>办理</w:t>
      </w:r>
      <w:r>
        <w:rPr>
          <w:rFonts w:hint="default" w:ascii="仿宋_GB2312" w:hAnsi="仿宋_GB2312" w:eastAsia="仿宋_GB2312" w:cs="仿宋_GB2312"/>
          <w:sz w:val="32"/>
          <w:szCs w:val="32"/>
        </w:rPr>
        <w:t>。</w:t>
      </w:r>
    </w:p>
    <w:p>
      <w:pPr>
        <w:ind w:firstLine="640" w:firstLineChars="200"/>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 xml:space="preserve">    2、纳税人选择的“跨境行为名称”非“为出口货物提供的邮政服务、收派服务、保险服务及符合零税率政策但适用简易计税方法或声明放弃适用零税率选择免税的应税行为”时，要求纳税人补充材料。</w:t>
      </w:r>
    </w:p>
    <w:p>
      <w:pPr>
        <w:pStyle w:val="3"/>
        <w:ind w:firstLine="643" w:firstLineChars="200"/>
        <w:rPr>
          <w:sz w:val="32"/>
          <w:szCs w:val="32"/>
          <w:highlight w:val="none"/>
        </w:rPr>
      </w:pPr>
      <w:r>
        <w:rPr>
          <w:rFonts w:hint="eastAsia"/>
          <w:sz w:val="32"/>
          <w:szCs w:val="32"/>
          <w:highlight w:val="none"/>
        </w:rPr>
        <w:t>八、常见问题</w:t>
      </w:r>
    </w:p>
    <w:p>
      <w:pPr>
        <w:numPr>
          <w:ilvl w:val="0"/>
          <w:numId w:val="3"/>
        </w:numPr>
        <w:ind w:left="641" w:firstLine="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什么场景下纳税人需要办理此业务</w:t>
      </w:r>
      <w:r>
        <w:rPr>
          <w:rFonts w:hint="eastAsia" w:ascii="仿宋_GB2312" w:hAnsi="仿宋_GB2312" w:eastAsia="仿宋_GB2312" w:cs="仿宋_GB2312"/>
          <w:sz w:val="32"/>
          <w:szCs w:val="32"/>
        </w:rPr>
        <w:t>？</w:t>
      </w:r>
    </w:p>
    <w:p>
      <w:pPr>
        <w:ind w:firstLine="640" w:firstLineChars="200"/>
        <w:rPr>
          <w:rFonts w:hint="eastAsia" w:ascii="仿宋_GB2312" w:hAnsi="宋体" w:eastAsia="仿宋_GB2312" w:cs="宋体"/>
          <w:sz w:val="32"/>
          <w:szCs w:val="32"/>
        </w:rPr>
      </w:pPr>
      <w:r>
        <w:rPr>
          <w:rFonts w:hint="eastAsia" w:ascii="仿宋_GB2312" w:hAnsi="宋体" w:eastAsia="仿宋_GB2312" w:cs="宋体"/>
          <w:sz w:val="32"/>
          <w:szCs w:val="32"/>
        </w:rPr>
        <w:t>答：纳税人发生向境外单位销售服务或无形资产等跨境应税行为符合免征增值税条件的，应在首次享受免税的纳税申报期内或在各省、自治区、直辖市和计划单列市税务局规定的申报征期后的其他期限内，到主管税务机关办理跨境应税行为免征增值税报告事项。</w:t>
      </w:r>
    </w:p>
    <w:p>
      <w:pPr>
        <w:numPr>
          <w:ilvl w:val="0"/>
          <w:numId w:val="3"/>
        </w:numPr>
        <w:ind w:left="641" w:firstLine="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什么类型的纳税人可以办理此业务</w:t>
      </w:r>
      <w:r>
        <w:rPr>
          <w:rFonts w:hint="eastAsia" w:ascii="仿宋_GB2312" w:hAnsi="仿宋_GB2312" w:eastAsia="仿宋_GB2312" w:cs="仿宋_GB2312"/>
          <w:sz w:val="32"/>
          <w:szCs w:val="32"/>
        </w:rPr>
        <w:t>？</w:t>
      </w:r>
    </w:p>
    <w:p>
      <w:pPr>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答：</w:t>
      </w:r>
      <w:r>
        <w:rPr>
          <w:rFonts w:hint="eastAsia" w:ascii="仿宋_GB2312" w:hAnsi="仿宋_GB2312" w:eastAsia="仿宋_GB2312" w:cs="仿宋_GB2312"/>
          <w:sz w:val="32"/>
          <w:szCs w:val="32"/>
          <w:lang w:val="en-US" w:eastAsia="zh-CN"/>
        </w:rPr>
        <w:t>非纯扣缴义务人或受托方纳税人</w:t>
      </w:r>
      <w:r>
        <w:rPr>
          <w:rFonts w:hint="eastAsia" w:ascii="仿宋_GB2312" w:hAnsi="仿宋_GB2312" w:eastAsia="仿宋_GB2312" w:cs="仿宋_GB2312"/>
          <w:sz w:val="32"/>
          <w:szCs w:val="32"/>
        </w:rPr>
        <w:t>。</w:t>
      </w:r>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00"/>
    <w:family w:val="modern"/>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94A597"/>
    <w:multiLevelType w:val="singleLevel"/>
    <w:tmpl w:val="8894A597"/>
    <w:lvl w:ilvl="0" w:tentative="0">
      <w:start w:val="3"/>
      <w:numFmt w:val="decimal"/>
      <w:suff w:val="nothing"/>
      <w:lvlText w:val="%1、"/>
      <w:lvlJc w:val="left"/>
    </w:lvl>
  </w:abstractNum>
  <w:abstractNum w:abstractNumId="1">
    <w:nsid w:val="2A6B075B"/>
    <w:multiLevelType w:val="multilevel"/>
    <w:tmpl w:val="2A6B075B"/>
    <w:lvl w:ilvl="0" w:tentative="0">
      <w:start w:val="1"/>
      <w:numFmt w:val="decimal"/>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2">
    <w:nsid w:val="2B1925B7"/>
    <w:multiLevelType w:val="multilevel"/>
    <w:tmpl w:val="2B1925B7"/>
    <w:lvl w:ilvl="0" w:tentative="0">
      <w:start w:val="1"/>
      <w:numFmt w:val="decimal"/>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VhYThiY2ZhNjhmZmY3NGE2NmIwMWNiMmM2MTk2MWQifQ=="/>
  </w:docVars>
  <w:rsids>
    <w:rsidRoot w:val="BAFF4711"/>
    <w:rsid w:val="15782754"/>
    <w:rsid w:val="29FB7C68"/>
    <w:rsid w:val="2CC14552"/>
    <w:rsid w:val="3BF7F788"/>
    <w:rsid w:val="3D5530ED"/>
    <w:rsid w:val="54285AF5"/>
    <w:rsid w:val="66AE0855"/>
    <w:rsid w:val="6F7F179A"/>
    <w:rsid w:val="6FBD11F3"/>
    <w:rsid w:val="7C7E8A6E"/>
    <w:rsid w:val="7FE72B3B"/>
    <w:rsid w:val="ADB8547C"/>
    <w:rsid w:val="BAFF4711"/>
    <w:rsid w:val="F7BF8ACE"/>
    <w:rsid w:val="F7EB63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2"/>
    <w:basedOn w:val="1"/>
    <w:next w:val="1"/>
    <w:qFormat/>
    <w:uiPriority w:val="0"/>
    <w:pPr>
      <w:keepNext/>
      <w:keepLines/>
      <w:spacing w:beforeLines="0" w:beforeAutospacing="0" w:afterLines="0" w:afterAutospacing="0" w:line="240" w:lineRule="auto"/>
      <w:outlineLvl w:val="1"/>
    </w:pPr>
    <w:rPr>
      <w:rFonts w:ascii="Arial" w:hAnsi="Arial" w:eastAsia="黑体"/>
      <w:b/>
      <w:sz w:val="28"/>
    </w:rPr>
  </w:style>
  <w:style w:type="character" w:default="1" w:styleId="5">
    <w:name w:val="Default Paragraph Font"/>
    <w:semiHidden/>
    <w:qFormat/>
    <w:uiPriority w:val="0"/>
  </w:style>
  <w:style w:type="table" w:default="1" w:styleId="4">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1"/>
    <w:qFormat/>
    <w:uiPriority w:val="99"/>
    <w:pPr>
      <w:spacing w:after="120"/>
    </w:pPr>
    <w:rPr>
      <w:rFonts w:ascii="Arial" w:hAnsi="Arial"/>
    </w:rPr>
  </w:style>
  <w:style w:type="paragraph" w:customStyle="1" w:styleId="6">
    <w:name w:val="_Style 3"/>
    <w:basedOn w:val="1"/>
    <w:qFormat/>
    <w:uiPriority w:val="0"/>
    <w:pPr>
      <w:ind w:firstLine="420" w:firstLineChars="200"/>
    </w:pPr>
    <w:rPr>
      <w:szCs w:val="22"/>
    </w:rPr>
  </w:style>
  <w:style w:type="paragraph" w:customStyle="1" w:styleId="7">
    <w:name w:val="表格文字 左对齐"/>
    <w:qFormat/>
    <w:uiPriority w:val="0"/>
    <w:pPr>
      <w:keepNext w:val="0"/>
      <w:keepLines w:val="0"/>
      <w:widowControl w:val="0"/>
      <w:suppressLineNumbers w:val="0"/>
      <w:spacing w:before="0" w:beforeAutospacing="0" w:after="0" w:afterAutospacing="0"/>
      <w:ind w:left="0" w:right="0"/>
      <w:jc w:val="left"/>
    </w:pPr>
    <w:rPr>
      <w:rFonts w:hint="default" w:ascii="Arial" w:hAnsi="Arial" w:eastAsia="Times New Roman" w:cs="Arial"/>
      <w:kern w:val="0"/>
      <w:sz w:val="18"/>
      <w:szCs w:val="18"/>
      <w:lang w:val="en-US" w:eastAsia="zh-CN" w:bidi="ar"/>
    </w:rPr>
  </w:style>
  <w:style w:type="paragraph" w:customStyle="1" w:styleId="8">
    <w:name w:val="表格文字 居中"/>
    <w:qFormat/>
    <w:uiPriority w:val="0"/>
    <w:pPr>
      <w:spacing w:before="0" w:beforeAutospacing="0" w:after="0" w:afterAutospacing="0"/>
      <w:ind w:left="0" w:right="0" w:firstLine="0"/>
      <w:jc w:val="center"/>
    </w:pPr>
    <w:rPr>
      <w:rFonts w:hint="default" w:ascii="Times New Roman" w:hAnsi="Times New Roman" w:eastAsia="宋体" w:cs="宋体"/>
      <w:kern w:val="2"/>
      <w:sz w:val="21"/>
      <w:szCs w:val="21"/>
      <w:lang w:val="en-US" w:eastAsia="zh-CN" w:bidi="ar"/>
    </w:rPr>
  </w:style>
  <w:style w:type="paragraph" w:customStyle="1" w:styleId="9">
    <w:name w:val="表格列标题"/>
    <w:basedOn w:val="10"/>
    <w:qFormat/>
    <w:uiPriority w:val="0"/>
    <w:pPr>
      <w:jc w:val="center"/>
    </w:pPr>
    <w:rPr>
      <w:rFonts w:ascii="Arial" w:hAnsi="Arial" w:cs="Arial"/>
      <w:b/>
      <w:sz w:val="18"/>
    </w:rPr>
  </w:style>
  <w:style w:type="paragraph" w:customStyle="1" w:styleId="10">
    <w:name w:val="正文_1"/>
    <w:qFormat/>
    <w:uiPriority w:val="0"/>
    <w:rPr>
      <w:rFonts w:ascii="Times New Roman" w:hAnsi="Times New Roman" w:eastAsia="Times New Roman" w:cs="Times New Roman"/>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1951</Words>
  <Characters>1968</Characters>
  <Lines>0</Lines>
  <Paragraphs>0</Paragraphs>
  <TotalTime>19</TotalTime>
  <ScaleCrop>false</ScaleCrop>
  <LinksUpToDate>false</LinksUpToDate>
  <CharactersWithSpaces>1975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2023-03-19T22:59:00Z</dcterms:created>
  <dc:creator>白白胖胖</dc:creator>
  <cp:lastModifiedBy>孙瑜</cp:lastModifiedBy>
  <dcterms:modified xsi:type="dcterms:W3CDTF">2024-05-21T09:37:24Z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9F0565C34EB0DCDE4861156402DC541F_41</vt:lpwstr>
  </property>
</Properties>
</file>