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A63" w:rsidRDefault="008A6662">
      <w:pPr>
        <w:jc w:val="center"/>
        <w:rPr>
          <w:rFonts w:ascii="楷体" w:eastAsia="楷体" w:hAnsi="楷体" w:cs="楷体"/>
          <w:b/>
          <w:color w:val="000000"/>
          <w:kern w:val="0"/>
          <w:sz w:val="44"/>
          <w:szCs w:val="44"/>
          <w:lang w:bidi="ar"/>
        </w:rPr>
      </w:pPr>
      <w:r>
        <w:rPr>
          <w:rFonts w:ascii="楷体" w:eastAsia="楷体" w:hAnsi="楷体" w:cs="楷体" w:hint="eastAsia"/>
          <w:b/>
          <w:color w:val="000000"/>
          <w:kern w:val="0"/>
          <w:sz w:val="44"/>
          <w:szCs w:val="44"/>
          <w:lang w:bidi="ar"/>
        </w:rPr>
        <w:t>业务操作指引</w:t>
      </w:r>
    </w:p>
    <w:p w:rsidR="00AC3A63" w:rsidRDefault="008A6662">
      <w:pPr>
        <w:jc w:val="center"/>
        <w:rPr>
          <w:rFonts w:ascii="楷体" w:eastAsia="楷体" w:hAnsi="楷体" w:cs="楷体"/>
          <w:b/>
          <w:color w:val="000000"/>
          <w:kern w:val="0"/>
          <w:sz w:val="44"/>
          <w:szCs w:val="44"/>
          <w:lang w:bidi="ar"/>
        </w:rPr>
      </w:pPr>
      <w:r>
        <w:rPr>
          <w:rFonts w:ascii="楷体" w:eastAsia="楷体" w:hAnsi="楷体" w:cs="楷体" w:hint="eastAsia"/>
          <w:b/>
          <w:color w:val="000000"/>
          <w:kern w:val="0"/>
          <w:sz w:val="44"/>
          <w:szCs w:val="44"/>
          <w:lang w:bidi="ar"/>
        </w:rPr>
        <w:t>60001</w:t>
      </w:r>
      <w:r>
        <w:rPr>
          <w:rFonts w:ascii="楷体" w:eastAsia="楷体" w:hAnsi="楷体" w:cs="楷体" w:hint="eastAsia"/>
          <w:b/>
          <w:color w:val="000000"/>
          <w:kern w:val="0"/>
          <w:sz w:val="44"/>
          <w:szCs w:val="44"/>
          <w:lang w:val="zh-CN" w:bidi="ar"/>
        </w:rPr>
        <w:t>稽查案件综合管理</w:t>
      </w:r>
      <w:r>
        <w:rPr>
          <w:rFonts w:ascii="楷体" w:eastAsia="楷体" w:hAnsi="楷体" w:cs="楷体" w:hint="eastAsia"/>
          <w:b/>
          <w:color w:val="000000"/>
          <w:kern w:val="0"/>
          <w:sz w:val="44"/>
          <w:szCs w:val="44"/>
          <w:lang w:bidi="ar"/>
        </w:rPr>
        <w:t>-纳税人端</w:t>
      </w:r>
    </w:p>
    <w:p w:rsidR="00AC3A63" w:rsidRDefault="00AC3A63">
      <w:pPr>
        <w:pStyle w:val="TableOfAuthoring"/>
      </w:pPr>
    </w:p>
    <w:p w:rsidR="00AC3A63" w:rsidRDefault="008A6662">
      <w:pPr>
        <w:pStyle w:val="2"/>
        <w:numPr>
          <w:ilvl w:val="0"/>
          <w:numId w:val="2"/>
        </w:numPr>
      </w:pPr>
      <w:r>
        <w:t>业务概述</w:t>
      </w:r>
      <w:r>
        <w:t xml:space="preserve"> </w:t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税务稽查案件综合管理场景，是纳税人端处理稽查案件的主要入口。他将需要与纳税人产生交互的业务集中在一个办税场景中，方便纳税人对稽查案件进行及时响应。</w:t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税务稽查案件综合管理场景共融合了十个场景，分别为</w:t>
      </w:r>
      <w:bookmarkStart w:id="0" w:name="_GoBack"/>
      <w:r>
        <w:rPr>
          <w:rFonts w:ascii="华文仿宋" w:eastAsia="华文仿宋" w:hAnsi="华文仿宋" w:cs="华文仿宋" w:hint="eastAsia"/>
          <w:bCs/>
          <w:sz w:val="32"/>
          <w:szCs w:val="32"/>
        </w:rPr>
        <w:t>【税收违法行为网络检举】</w:t>
      </w:r>
      <w:bookmarkEnd w:id="0"/>
      <w:r>
        <w:rPr>
          <w:rFonts w:ascii="华文仿宋" w:eastAsia="华文仿宋" w:hAnsi="华文仿宋" w:cs="华文仿宋" w:hint="eastAsia"/>
          <w:bCs/>
          <w:sz w:val="32"/>
          <w:szCs w:val="32"/>
        </w:rPr>
        <w:t>、【随机抽查对象自查】、【检查证查验】、【资料及信息交互】、【预缴开票】、【陈述申辩】、【税务行政处罚听证申请】、【申请税务人员回避】、【复议申请管理】、</w:t>
      </w:r>
      <w:r w:rsidRPr="00731E4D">
        <w:rPr>
          <w:rFonts w:ascii="华文仿宋" w:eastAsia="华文仿宋" w:hAnsi="华文仿宋" w:cs="华文仿宋" w:hint="eastAsia"/>
          <w:bCs/>
          <w:sz w:val="32"/>
          <w:szCs w:val="32"/>
        </w:rPr>
        <w:t>【纳税信用修复】</w:t>
      </w:r>
      <w:r>
        <w:rPr>
          <w:rFonts w:ascii="华文仿宋" w:eastAsia="华文仿宋" w:hAnsi="华文仿宋" w:cs="华文仿宋" w:hint="eastAsia"/>
          <w:bCs/>
          <w:sz w:val="32"/>
          <w:szCs w:val="32"/>
        </w:rPr>
        <w:t>。其中，有些功能均设置功能菜单单独入口和“稽查案件管理”综合入口。</w:t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稽查案件的相关功能，以税务文书为线索，以纳税人接收到的文书为指引，纳税人可分别发起相应的业务流程。</w:t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对已经结案的稽查案件，除了《税务处理决定书》、《税务处罚决定书》以外，其他文书只支持查看，不能再发起关联流程；对未结案的案件，针对文书可发起关联流程。对稽查案件已经审理完毕并出具了《税务处理决定书》、《税务处罚决定书》后，之前环节的纳税人收到的文书，也不再支持发起关联流程。</w:t>
      </w:r>
    </w:p>
    <w:p w:rsidR="00AC3A63" w:rsidRDefault="008A6662">
      <w:pPr>
        <w:pStyle w:val="2"/>
        <w:numPr>
          <w:ilvl w:val="0"/>
          <w:numId w:val="2"/>
        </w:numPr>
      </w:pPr>
      <w:r>
        <w:rPr>
          <w:rFonts w:hint="eastAsia"/>
        </w:rPr>
        <w:lastRenderedPageBreak/>
        <w:t>办理流程</w:t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即时办结。（跳转至各个功能进行业务办理，此功能只做跳转）</w:t>
      </w:r>
    </w:p>
    <w:p w:rsidR="00AC3A63" w:rsidRDefault="008A6662">
      <w:pPr>
        <w:pStyle w:val="2"/>
        <w:numPr>
          <w:ilvl w:val="1"/>
          <w:numId w:val="0"/>
        </w:numPr>
        <w:ind w:firstLineChars="200" w:firstLine="643"/>
      </w:pPr>
      <w:r>
        <w:rPr>
          <w:rFonts w:hint="eastAsia"/>
        </w:rPr>
        <w:t>三、关联场景</w:t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无。</w:t>
      </w:r>
    </w:p>
    <w:p w:rsidR="00AC3A63" w:rsidRDefault="008A6662">
      <w:pPr>
        <w:pStyle w:val="2"/>
        <w:numPr>
          <w:ilvl w:val="1"/>
          <w:numId w:val="0"/>
        </w:numPr>
        <w:ind w:firstLineChars="200" w:firstLine="643"/>
      </w:pPr>
      <w:r>
        <w:rPr>
          <w:rFonts w:hint="eastAsia"/>
        </w:rPr>
        <w:t>四、功能路径</w:t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 xml:space="preserve">1.场景办税-稽查案件管理 </w:t>
      </w:r>
    </w:p>
    <w:p w:rsidR="00AC3A63" w:rsidRDefault="008A6662">
      <w:pPr>
        <w:pStyle w:val="2"/>
        <w:numPr>
          <w:ilvl w:val="1"/>
          <w:numId w:val="0"/>
        </w:numPr>
        <w:ind w:firstLineChars="200" w:firstLine="643"/>
        <w:rPr>
          <w:lang w:eastAsia="zh-Hans"/>
        </w:rPr>
      </w:pPr>
      <w:r>
        <w:rPr>
          <w:rFonts w:hint="eastAsia"/>
        </w:rPr>
        <w:t>五、</w:t>
      </w:r>
      <w:r>
        <w:rPr>
          <w:rFonts w:hint="eastAsia"/>
          <w:lang w:eastAsia="zh-Hans"/>
        </w:rPr>
        <w:t>操作步骤</w:t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1.登录新电子税务局后，点击【场景办税】-【稽查案件管理】功能菜单进入功能。</w:t>
      </w:r>
    </w:p>
    <w:p w:rsidR="00AC3A63" w:rsidRDefault="004B2147">
      <w:pPr>
        <w:rPr>
          <w:rFonts w:ascii="华文仿宋" w:eastAsia="华文仿宋" w:hAnsi="华文仿宋" w:cs="华文仿宋"/>
          <w:sz w:val="32"/>
          <w:szCs w:val="32"/>
          <w:lang w:eastAsia="zh-Hans"/>
        </w:rPr>
      </w:pPr>
      <w:r>
        <w:rPr>
          <w:noProof/>
        </w:rPr>
        <w:drawing>
          <wp:inline distT="0" distB="0" distL="0" distR="0">
            <wp:extent cx="5267960" cy="2402205"/>
            <wp:effectExtent l="0" t="0" r="8890" b="0"/>
            <wp:docPr id="3" name="图片 3" descr="C:\Users\a\Desktop\综合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\Desktop\综合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2.系统显示该纳税人所有的稽查案件信息。输入查询条件点击【查询】后显示对应查询条件的案件信息。点击【重置】后查询条件被重置。点击【查看文书】可展示对应案件</w:t>
      </w:r>
      <w:r>
        <w:rPr>
          <w:rFonts w:ascii="华文仿宋" w:eastAsia="华文仿宋" w:hAnsi="华文仿宋" w:cs="华文仿宋" w:hint="eastAsia"/>
          <w:bCs/>
          <w:sz w:val="32"/>
          <w:szCs w:val="32"/>
        </w:rPr>
        <w:lastRenderedPageBreak/>
        <w:t>信息的文书信息。</w:t>
      </w:r>
    </w:p>
    <w:p w:rsidR="00AC3A63" w:rsidRDefault="004B2147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noProof/>
        </w:rPr>
        <w:drawing>
          <wp:inline distT="0" distB="0" distL="0" distR="0">
            <wp:extent cx="5267960" cy="2279015"/>
            <wp:effectExtent l="0" t="0" r="8890" b="6985"/>
            <wp:docPr id="4" name="图片 4" descr="C:\Users\a\Desktop\综合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Desktop\综合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3</w:t>
      </w:r>
      <w:r>
        <w:rPr>
          <w:rFonts w:ascii="华文仿宋" w:eastAsia="华文仿宋" w:hAnsi="华文仿宋" w:cs="华文仿宋"/>
          <w:bCs/>
          <w:sz w:val="32"/>
          <w:szCs w:val="32"/>
        </w:rPr>
        <w:t>.</w:t>
      </w:r>
      <w:r>
        <w:rPr>
          <w:rFonts w:ascii="华文仿宋" w:eastAsia="华文仿宋" w:hAnsi="华文仿宋" w:cs="华文仿宋" w:hint="eastAsia"/>
          <w:bCs/>
          <w:sz w:val="32"/>
          <w:szCs w:val="32"/>
        </w:rPr>
        <w:t>点击【查看】可查看对应文书的详细信息。</w:t>
      </w:r>
    </w:p>
    <w:p w:rsidR="00AC3A63" w:rsidRDefault="004C6CCD">
      <w:r>
        <w:rPr>
          <w:noProof/>
        </w:rPr>
        <w:drawing>
          <wp:inline distT="0" distB="0" distL="0" distR="0">
            <wp:extent cx="5274945" cy="2381250"/>
            <wp:effectExtent l="0" t="0" r="1905" b="0"/>
            <wp:docPr id="5" name="图片 5" descr="C:\Users\a\Desktop\综合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\Desktop\综合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4.点击【陈述申辩】后跳转至申述申辩功能办理界面，点击【撤回申辩】可对已申辩的内容进行撤回。具体操作请查看《稽查案件审理-陈述申辩》操作指引。</w:t>
      </w:r>
    </w:p>
    <w:p w:rsidR="00AC3A63" w:rsidRDefault="004C6CCD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267960" cy="2360930"/>
            <wp:effectExtent l="0" t="0" r="8890" b="1270"/>
            <wp:docPr id="6" name="图片 6" descr="C:\Users\a\Desktop\综合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\Desktop\综合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5.随机抽查对象自查模块。点击【自查补税】可跳转至随机抽查对象自查功能办理界面，点击【申请退回】可对已申请的任务进行退回处理。具体操作请查看《稽查案源管理-随机抽查对象自查》操作指引。</w:t>
      </w:r>
    </w:p>
    <w:p w:rsidR="00AC3A63" w:rsidRDefault="00777FA1">
      <w:r>
        <w:rPr>
          <w:noProof/>
        </w:rPr>
        <w:drawing>
          <wp:inline distT="0" distB="0" distL="0" distR="0">
            <wp:extent cx="5264150" cy="2330450"/>
            <wp:effectExtent l="0" t="0" r="0" b="0"/>
            <wp:docPr id="1" name="图片 1" descr="C:\Users\a\Desktop\综合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esktop\综合66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18D">
        <w:tab/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6.税务检查证查验。点击【检查证查验】可跳转至检查证查验功能界面，具体操作请查看《税务检查证查验》操作指引。</w:t>
      </w:r>
    </w:p>
    <w:p w:rsidR="00AC3A63" w:rsidRDefault="0042189E">
      <w:r>
        <w:rPr>
          <w:noProof/>
        </w:rPr>
        <w:lastRenderedPageBreak/>
        <w:drawing>
          <wp:inline distT="0" distB="0" distL="0" distR="0">
            <wp:extent cx="5267960" cy="2360930"/>
            <wp:effectExtent l="0" t="0" r="8890" b="1270"/>
            <wp:docPr id="7" name="图片 7" descr="C:\Users\a\Desktop\综合4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\Desktop\综合444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7.预缴开票。点击【预缴开票】可跳转之预缴开票办理界面，具体操作请查看《预缴开票》操作指引。</w:t>
      </w:r>
    </w:p>
    <w:p w:rsidR="00AC3A63" w:rsidRDefault="0042189E">
      <w:r>
        <w:rPr>
          <w:noProof/>
        </w:rPr>
        <w:drawing>
          <wp:inline distT="0" distB="0" distL="0" distR="0">
            <wp:extent cx="5267960" cy="2360930"/>
            <wp:effectExtent l="0" t="0" r="8890" b="1270"/>
            <wp:docPr id="8" name="图片 8" descr="C:\Users\a\Desktop\综合44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\Desktop\综合444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8.复议申请管理。点击【申请复议】可跳转至复议申请管理功能界面，具体操作请查看《复议申请管理》操作指引。</w:t>
      </w:r>
    </w:p>
    <w:p w:rsidR="00AC3A63" w:rsidRDefault="0042189E">
      <w:r>
        <w:rPr>
          <w:noProof/>
        </w:rPr>
        <w:drawing>
          <wp:inline distT="0" distB="0" distL="0" distR="0">
            <wp:extent cx="5267960" cy="2360930"/>
            <wp:effectExtent l="0" t="0" r="8890" b="1270"/>
            <wp:docPr id="9" name="图片 9" descr="C:\Users\a\Desktop\综合444f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\Desktop\综合444fy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lastRenderedPageBreak/>
        <w:t>9.税务行政处罚听证。点击【申请听证】可跳转至税务行政处罚听证功能界面，具体操作请查看《税务行政处罚听证》操作指引。</w:t>
      </w:r>
    </w:p>
    <w:p w:rsidR="00AC3A63" w:rsidRDefault="0042189E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noProof/>
        </w:rPr>
        <w:drawing>
          <wp:inline distT="0" distB="0" distL="0" distR="0">
            <wp:extent cx="5267960" cy="2360930"/>
            <wp:effectExtent l="0" t="0" r="8890" b="1270"/>
            <wp:docPr id="10" name="图片 10" descr="C:\Users\a\Desktop\综合44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\Desktop\综合44488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63" w:rsidRDefault="008A6662">
      <w:pPr>
        <w:pStyle w:val="2"/>
        <w:numPr>
          <w:ilvl w:val="1"/>
          <w:numId w:val="0"/>
        </w:numPr>
        <w:ind w:firstLineChars="200" w:firstLine="643"/>
      </w:pPr>
      <w:r>
        <w:rPr>
          <w:rFonts w:hint="eastAsia"/>
        </w:rPr>
        <w:t>六、报送资料</w:t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无。</w:t>
      </w:r>
    </w:p>
    <w:p w:rsidR="00AC3A63" w:rsidRDefault="008A6662" w:rsidP="0042189E">
      <w:pPr>
        <w:pStyle w:val="2"/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注意事项</w:t>
      </w:r>
    </w:p>
    <w:p w:rsidR="00AC3A63" w:rsidRDefault="008A6662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无。</w:t>
      </w:r>
    </w:p>
    <w:p w:rsidR="00AC3A63" w:rsidRDefault="008A6662" w:rsidP="0042189E">
      <w:pPr>
        <w:pStyle w:val="2"/>
        <w:numPr>
          <w:ilvl w:val="0"/>
          <w:numId w:val="0"/>
        </w:numPr>
        <w:ind w:firstLineChars="200" w:firstLine="643"/>
      </w:pPr>
      <w:r>
        <w:rPr>
          <w:rFonts w:hint="eastAsia"/>
        </w:rPr>
        <w:t>八、常见问题</w:t>
      </w:r>
    </w:p>
    <w:p w:rsidR="0042189E" w:rsidRDefault="0042189E" w:rsidP="0042189E">
      <w:pPr>
        <w:ind w:firstLineChars="200" w:firstLine="640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无。</w:t>
      </w:r>
    </w:p>
    <w:p w:rsidR="0042189E" w:rsidRPr="0042189E" w:rsidRDefault="0042189E" w:rsidP="0042189E"/>
    <w:sectPr w:rsidR="0042189E" w:rsidRPr="00421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320" w:rsidRDefault="00D23320" w:rsidP="004B2147">
      <w:r>
        <w:separator/>
      </w:r>
    </w:p>
  </w:endnote>
  <w:endnote w:type="continuationSeparator" w:id="0">
    <w:p w:rsidR="00D23320" w:rsidRDefault="00D23320" w:rsidP="004B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320" w:rsidRDefault="00D23320" w:rsidP="004B2147">
      <w:r>
        <w:separator/>
      </w:r>
    </w:p>
  </w:footnote>
  <w:footnote w:type="continuationSeparator" w:id="0">
    <w:p w:rsidR="00D23320" w:rsidRDefault="00D23320" w:rsidP="004B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57DFE"/>
    <w:multiLevelType w:val="multilevel"/>
    <w:tmpl w:val="51957DFE"/>
    <w:lvl w:ilvl="0">
      <w:start w:val="1"/>
      <w:numFmt w:val="japaneseCounting"/>
      <w:lvlText w:val="%1、"/>
      <w:lvlJc w:val="left"/>
      <w:pPr>
        <w:ind w:left="1303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56F41633"/>
    <w:multiLevelType w:val="hybridMultilevel"/>
    <w:tmpl w:val="083C5B76"/>
    <w:lvl w:ilvl="0" w:tplc="E932BF5E">
      <w:start w:val="7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723C47C6"/>
    <w:multiLevelType w:val="multilevel"/>
    <w:tmpl w:val="723C47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3687" w:firstLine="0"/>
      </w:pPr>
      <w:rPr>
        <w:rFonts w:hint="eastAsia"/>
      </w:rPr>
    </w:lvl>
    <w:lvl w:ilvl="4">
      <w:start w:val="1"/>
      <w:numFmt w:val="decimal"/>
      <w:suff w:val="space"/>
      <w:lvlText w:val="%1.%2.%3.%4.%5"/>
      <w:lvlJc w:val="left"/>
      <w:pPr>
        <w:ind w:left="5388" w:firstLine="0"/>
      </w:pPr>
      <w:rPr>
        <w:rFonts w:hint="eastAsia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zAxNjFhODgyNGRmODYzYzM5NzA4NTg0NTMwNDYifQ=="/>
  </w:docVars>
  <w:rsids>
    <w:rsidRoot w:val="44D00A89"/>
    <w:rsid w:val="00070975"/>
    <w:rsid w:val="0009528E"/>
    <w:rsid w:val="00292D3F"/>
    <w:rsid w:val="003145F9"/>
    <w:rsid w:val="003C7AB5"/>
    <w:rsid w:val="0042189E"/>
    <w:rsid w:val="004B2147"/>
    <w:rsid w:val="004C6CCD"/>
    <w:rsid w:val="00731E4D"/>
    <w:rsid w:val="00777FA1"/>
    <w:rsid w:val="008A6662"/>
    <w:rsid w:val="0091614B"/>
    <w:rsid w:val="00954ED4"/>
    <w:rsid w:val="009A46B9"/>
    <w:rsid w:val="00AC3A63"/>
    <w:rsid w:val="00D23320"/>
    <w:rsid w:val="00DA718D"/>
    <w:rsid w:val="00F433C6"/>
    <w:rsid w:val="045A27EF"/>
    <w:rsid w:val="061330AB"/>
    <w:rsid w:val="0678221D"/>
    <w:rsid w:val="0C2A73F8"/>
    <w:rsid w:val="0DD3446D"/>
    <w:rsid w:val="11EE32CE"/>
    <w:rsid w:val="12802F7E"/>
    <w:rsid w:val="13CB4875"/>
    <w:rsid w:val="13CF0B54"/>
    <w:rsid w:val="13E56DE7"/>
    <w:rsid w:val="157E0C41"/>
    <w:rsid w:val="19926C73"/>
    <w:rsid w:val="1B842CE0"/>
    <w:rsid w:val="1EFE0F1B"/>
    <w:rsid w:val="1FF04C33"/>
    <w:rsid w:val="20F84826"/>
    <w:rsid w:val="22395677"/>
    <w:rsid w:val="238647F5"/>
    <w:rsid w:val="23C16A22"/>
    <w:rsid w:val="241E4CD0"/>
    <w:rsid w:val="24DF3925"/>
    <w:rsid w:val="2A39660F"/>
    <w:rsid w:val="2E49665F"/>
    <w:rsid w:val="31E7466D"/>
    <w:rsid w:val="31EB0BF6"/>
    <w:rsid w:val="31EB4A07"/>
    <w:rsid w:val="323F0EF0"/>
    <w:rsid w:val="380F6DA4"/>
    <w:rsid w:val="39756170"/>
    <w:rsid w:val="3A04298C"/>
    <w:rsid w:val="3B7C71D3"/>
    <w:rsid w:val="3CDE6574"/>
    <w:rsid w:val="3DD97FBA"/>
    <w:rsid w:val="3DE918B5"/>
    <w:rsid w:val="3EBC07B5"/>
    <w:rsid w:val="40AD13AE"/>
    <w:rsid w:val="42026762"/>
    <w:rsid w:val="43AC05B3"/>
    <w:rsid w:val="44D00A89"/>
    <w:rsid w:val="474078A0"/>
    <w:rsid w:val="49833D39"/>
    <w:rsid w:val="49D37857"/>
    <w:rsid w:val="4C1C4793"/>
    <w:rsid w:val="4F754E06"/>
    <w:rsid w:val="510E1D14"/>
    <w:rsid w:val="511C753C"/>
    <w:rsid w:val="5364197D"/>
    <w:rsid w:val="53745DAC"/>
    <w:rsid w:val="556F2764"/>
    <w:rsid w:val="5B3B3543"/>
    <w:rsid w:val="5B4C44D2"/>
    <w:rsid w:val="5E255DA4"/>
    <w:rsid w:val="5FD158C7"/>
    <w:rsid w:val="683F7634"/>
    <w:rsid w:val="697E4F17"/>
    <w:rsid w:val="6D98170F"/>
    <w:rsid w:val="6E16088F"/>
    <w:rsid w:val="6F6810F0"/>
    <w:rsid w:val="71215A0B"/>
    <w:rsid w:val="71BB29BB"/>
    <w:rsid w:val="73D54C9E"/>
    <w:rsid w:val="7A670B3D"/>
    <w:rsid w:val="7DA4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0372E9-35C2-48DA-93A5-B9898DC1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240" w:after="240"/>
      <w:outlineLvl w:val="1"/>
    </w:pPr>
    <w:rPr>
      <w:rFonts w:ascii="Arial" w:eastAsia="黑体" w:hAnsi="Arial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beforeLines="50" w:before="156" w:after="120"/>
      <w:ind w:firstLineChars="200" w:firstLine="200"/>
    </w:pPr>
    <w:rPr>
      <w:color w:val="000000"/>
      <w:szCs w:val="22"/>
    </w:rPr>
  </w:style>
  <w:style w:type="paragraph" w:customStyle="1" w:styleId="TableOfAuthoring">
    <w:name w:val="TableOfAuthoring"/>
    <w:basedOn w:val="a"/>
    <w:next w:val="a"/>
    <w:qFormat/>
    <w:pPr>
      <w:ind w:leftChars="200" w:left="420"/>
    </w:pPr>
  </w:style>
  <w:style w:type="paragraph" w:customStyle="1" w:styleId="a4">
    <w:name w:val="表格列标题"/>
    <w:basedOn w:val="1"/>
    <w:qFormat/>
    <w:pPr>
      <w:jc w:val="center"/>
    </w:pPr>
    <w:rPr>
      <w:rFonts w:ascii="Arial" w:hAnsi="Arial" w:cs="Arial"/>
      <w:b/>
      <w:sz w:val="18"/>
    </w:rPr>
  </w:style>
  <w:style w:type="paragraph" w:customStyle="1" w:styleId="1">
    <w:name w:val="正文_1"/>
    <w:qFormat/>
    <w:rPr>
      <w:rFonts w:eastAsia="Times New Roman"/>
      <w:sz w:val="24"/>
      <w:szCs w:val="24"/>
    </w:rPr>
  </w:style>
  <w:style w:type="paragraph" w:customStyle="1" w:styleId="a5">
    <w:name w:val="表格文字 居中"/>
    <w:basedOn w:val="10"/>
    <w:qFormat/>
    <w:pPr>
      <w:jc w:val="center"/>
    </w:pPr>
    <w:rPr>
      <w:rFonts w:ascii="Arial" w:hAnsi="Arial" w:cs="Arial"/>
      <w:sz w:val="18"/>
    </w:rPr>
  </w:style>
  <w:style w:type="paragraph" w:customStyle="1" w:styleId="10">
    <w:name w:val="正文1"/>
    <w:qFormat/>
    <w:pPr>
      <w:widowControl w:val="0"/>
      <w:jc w:val="both"/>
    </w:pPr>
    <w:rPr>
      <w:rFonts w:ascii="Calibri" w:hAnsi="Calibri"/>
    </w:rPr>
  </w:style>
  <w:style w:type="paragraph" w:customStyle="1" w:styleId="a6">
    <w:name w:val="表格文字 左对齐"/>
    <w:basedOn w:val="1"/>
    <w:qFormat/>
    <w:rPr>
      <w:rFonts w:ascii="Arial" w:hAnsi="Arial" w:cs="Arial"/>
      <w:sz w:val="18"/>
    </w:rPr>
  </w:style>
  <w:style w:type="paragraph" w:styleId="a7">
    <w:name w:val="header"/>
    <w:basedOn w:val="a"/>
    <w:link w:val="Char"/>
    <w:rsid w:val="004B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4B214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4B2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4B21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163</Words>
  <Characters>934</Characters>
  <Application>Microsoft Office Word</Application>
  <DocSecurity>0</DocSecurity>
  <Lines>7</Lines>
  <Paragraphs>2</Paragraphs>
  <ScaleCrop>false</ScaleCrop>
  <Company>Lenovo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饺子就酒</dc:creator>
  <cp:lastModifiedBy>a</cp:lastModifiedBy>
  <cp:revision>9</cp:revision>
  <dcterms:created xsi:type="dcterms:W3CDTF">2024-04-24T08:30:00Z</dcterms:created>
  <dcterms:modified xsi:type="dcterms:W3CDTF">2024-05-22T01:46:00Z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303A6C7C78AE4F4A8484DB2F7D8CF093_13</vt:lpwstr>
  </property>
</Properties>
</file>