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15DBB0">
      <w:pPr>
        <w:spacing w:line="360" w:lineRule="auto"/>
        <w:jc w:val="center"/>
        <w:rPr>
          <w:rFonts w:ascii="微软雅黑" w:hAnsi="微软雅黑" w:eastAsia="微软雅黑" w:cs="微软雅黑"/>
          <w:b/>
          <w:color w:val="000000"/>
          <w:kern w:val="44"/>
          <w:sz w:val="48"/>
          <w:szCs w:val="48"/>
        </w:rPr>
      </w:pPr>
    </w:p>
    <w:p w14:paraId="5748D2DB">
      <w:pPr>
        <w:spacing w:line="360" w:lineRule="auto"/>
        <w:jc w:val="center"/>
        <w:rPr>
          <w:rFonts w:ascii="微软雅黑" w:hAnsi="微软雅黑" w:eastAsia="微软雅黑" w:cs="微软雅黑"/>
          <w:b/>
          <w:color w:val="000000"/>
          <w:kern w:val="44"/>
          <w:sz w:val="48"/>
          <w:szCs w:val="48"/>
        </w:rPr>
      </w:pPr>
      <w:r>
        <w:rPr>
          <w:rFonts w:hint="eastAsia" w:ascii="微软雅黑" w:hAnsi="微软雅黑" w:eastAsia="微软雅黑" w:cs="微软雅黑"/>
          <w:b/>
          <w:color w:val="000000"/>
          <w:kern w:val="44"/>
          <w:sz w:val="48"/>
          <w:szCs w:val="48"/>
        </w:rPr>
        <w:t xml:space="preserve"> </w:t>
      </w:r>
    </w:p>
    <w:p w14:paraId="165CD07B">
      <w:pPr>
        <w:spacing w:line="360" w:lineRule="auto"/>
        <w:jc w:val="center"/>
        <w:rPr>
          <w:rFonts w:ascii="微软雅黑" w:hAnsi="微软雅黑" w:eastAsia="微软雅黑" w:cs="微软雅黑"/>
          <w:b/>
          <w:color w:val="000000"/>
          <w:kern w:val="44"/>
          <w:sz w:val="48"/>
          <w:szCs w:val="48"/>
        </w:rPr>
      </w:pPr>
      <w:r>
        <w:rPr>
          <w:rFonts w:hint="eastAsia" w:ascii="微软雅黑" w:hAnsi="微软雅黑" w:eastAsia="微软雅黑" w:cs="微软雅黑"/>
          <w:b/>
          <w:color w:val="000000"/>
          <w:kern w:val="44"/>
          <w:sz w:val="48"/>
          <w:szCs w:val="48"/>
        </w:rPr>
        <w:t>城乡居民社保费电子税务局操作手册</w:t>
      </w:r>
    </w:p>
    <w:p w14:paraId="57DEBEB2">
      <w:pPr>
        <w:spacing w:line="360" w:lineRule="auto"/>
        <w:jc w:val="center"/>
        <w:rPr>
          <w:rFonts w:ascii="微软雅黑" w:hAnsi="微软雅黑" w:eastAsia="微软雅黑" w:cs="微软雅黑"/>
          <w:b/>
          <w:color w:val="000000"/>
          <w:kern w:val="44"/>
          <w:sz w:val="48"/>
          <w:szCs w:val="48"/>
        </w:rPr>
      </w:pPr>
      <w:r>
        <w:rPr>
          <w:rFonts w:hint="eastAsia" w:ascii="微软雅黑" w:hAnsi="微软雅黑" w:eastAsia="微软雅黑" w:cs="微软雅黑"/>
          <w:b/>
          <w:color w:val="000000"/>
          <w:kern w:val="44"/>
          <w:sz w:val="48"/>
          <w:szCs w:val="48"/>
        </w:rPr>
        <w:t>（pc版）</w:t>
      </w:r>
    </w:p>
    <w:p w14:paraId="64343C53">
      <w:pPr>
        <w:spacing w:line="360" w:lineRule="auto"/>
        <w:jc w:val="center"/>
        <w:rPr>
          <w:rFonts w:ascii="微软雅黑" w:hAnsi="微软雅黑" w:eastAsia="微软雅黑" w:cs="微软雅黑"/>
          <w:b/>
          <w:color w:val="000000"/>
          <w:kern w:val="44"/>
          <w:sz w:val="48"/>
          <w:szCs w:val="48"/>
        </w:rPr>
      </w:pPr>
      <w:r>
        <w:rPr>
          <w:rFonts w:hint="eastAsia" w:ascii="微软雅黑" w:hAnsi="微软雅黑" w:eastAsia="微软雅黑" w:cs="微软雅黑"/>
          <w:b/>
          <w:color w:val="000000"/>
          <w:kern w:val="44"/>
          <w:sz w:val="48"/>
          <w:szCs w:val="48"/>
        </w:rPr>
        <w:t>V1.0</w:t>
      </w:r>
    </w:p>
    <w:p w14:paraId="29E76FF8">
      <w:pPr>
        <w:autoSpaceDE w:val="0"/>
        <w:autoSpaceDN w:val="0"/>
        <w:adjustRightInd w:val="0"/>
        <w:spacing w:line="360" w:lineRule="auto"/>
        <w:rPr>
          <w:rFonts w:ascii="微软雅黑" w:hAnsi="微软雅黑" w:eastAsia="微软雅黑" w:cs="微软雅黑"/>
          <w:b/>
          <w:color w:val="000000"/>
          <w:sz w:val="52"/>
        </w:rPr>
      </w:pPr>
    </w:p>
    <w:p w14:paraId="4BC92981">
      <w:pPr>
        <w:spacing w:line="360" w:lineRule="auto"/>
        <w:rPr>
          <w:rFonts w:ascii="微软雅黑" w:hAnsi="微软雅黑" w:eastAsia="微软雅黑" w:cs="微软雅黑"/>
        </w:rPr>
      </w:pPr>
    </w:p>
    <w:p w14:paraId="44694D30">
      <w:pPr>
        <w:spacing w:line="360" w:lineRule="auto"/>
        <w:rPr>
          <w:rFonts w:ascii="微软雅黑" w:hAnsi="微软雅黑" w:eastAsia="微软雅黑" w:cs="微软雅黑"/>
        </w:rPr>
      </w:pPr>
    </w:p>
    <w:p w14:paraId="355F66A5">
      <w:pPr>
        <w:spacing w:line="360" w:lineRule="auto"/>
        <w:rPr>
          <w:rFonts w:ascii="微软雅黑" w:hAnsi="微软雅黑" w:eastAsia="微软雅黑" w:cs="微软雅黑"/>
        </w:rPr>
      </w:pPr>
    </w:p>
    <w:p w14:paraId="72503C42">
      <w:pPr>
        <w:spacing w:line="360" w:lineRule="auto"/>
        <w:rPr>
          <w:rFonts w:ascii="微软雅黑" w:hAnsi="微软雅黑" w:eastAsia="微软雅黑" w:cs="微软雅黑"/>
          <w:sz w:val="32"/>
        </w:rPr>
      </w:pPr>
    </w:p>
    <w:p w14:paraId="359953AE">
      <w:pPr>
        <w:spacing w:line="360" w:lineRule="auto"/>
        <w:rPr>
          <w:rFonts w:ascii="微软雅黑" w:hAnsi="微软雅黑" w:eastAsia="微软雅黑" w:cs="微软雅黑"/>
          <w:sz w:val="32"/>
        </w:rPr>
      </w:pPr>
    </w:p>
    <w:p w14:paraId="6B0A00D3">
      <w:pPr>
        <w:spacing w:line="360" w:lineRule="auto"/>
        <w:jc w:val="center"/>
        <w:rPr>
          <w:rFonts w:ascii="微软雅黑" w:hAnsi="微软雅黑" w:eastAsia="微软雅黑" w:cs="微软雅黑"/>
          <w:b/>
          <w:color w:val="000000"/>
          <w:sz w:val="32"/>
        </w:rPr>
      </w:pPr>
    </w:p>
    <w:p w14:paraId="0B79336A">
      <w:pPr>
        <w:spacing w:line="360" w:lineRule="auto"/>
        <w:jc w:val="center"/>
        <w:rPr>
          <w:rFonts w:ascii="微软雅黑" w:hAnsi="微软雅黑" w:eastAsia="微软雅黑" w:cs="微软雅黑"/>
          <w:b/>
          <w:color w:val="000000"/>
          <w:sz w:val="32"/>
        </w:rPr>
      </w:pPr>
    </w:p>
    <w:p w14:paraId="584E37EA">
      <w:pPr>
        <w:spacing w:line="360" w:lineRule="auto"/>
        <w:jc w:val="center"/>
        <w:rPr>
          <w:rFonts w:hint="eastAsia" w:ascii="微软雅黑" w:hAnsi="微软雅黑" w:eastAsia="微软雅黑" w:cs="微软雅黑"/>
          <w:iCs/>
          <w:color w:val="0563C1"/>
          <w:sz w:val="20"/>
          <w:szCs w:val="20"/>
          <w:u w:val="single"/>
          <w:lang w:val="en-US" w:eastAsia="zh-CN" w:bidi="ar-SA"/>
        </w:rPr>
      </w:pPr>
      <w:bookmarkStart w:id="0" w:name="_Toc7736"/>
      <w:bookmarkStart w:id="1" w:name="_Toc22449"/>
      <w:bookmarkStart w:id="2" w:name="_Toc411026490"/>
      <w:bookmarkStart w:id="3" w:name="_Toc409612865"/>
      <w:bookmarkStart w:id="4" w:name="_Toc495871091"/>
      <w:bookmarkStart w:id="5" w:name="_Toc492642212"/>
      <w:bookmarkStart w:id="6" w:name="_Toc456013667"/>
      <w:bookmarkStart w:id="7" w:name="_Toc13875"/>
      <w:bookmarkStart w:id="8" w:name="_Toc3561"/>
      <w:bookmarkStart w:id="9" w:name="_Toc451414294"/>
      <w:bookmarkStart w:id="10" w:name="_Toc445906804"/>
      <w:bookmarkStart w:id="11" w:name="_Toc487741540"/>
      <w:bookmarkStart w:id="12" w:name="_Toc476138996"/>
      <w:bookmarkStart w:id="13" w:name="_Toc451443763"/>
      <w:bookmarkStart w:id="14" w:name="_Toc409601729"/>
      <w:bookmarkStart w:id="15" w:name="_Toc25404"/>
      <w:bookmarkStart w:id="16" w:name="_Toc14378"/>
      <w:bookmarkStart w:id="17" w:name="_Toc474756579"/>
      <w:bookmarkStart w:id="18" w:name="_Toc464824678"/>
      <w:bookmarkStart w:id="19" w:name="_Toc411072977"/>
      <w:bookmarkStart w:id="20" w:name="_Toc24962"/>
      <w:bookmarkStart w:id="21" w:name="_Toc466384267"/>
      <w:r>
        <w:rPr>
          <w:rFonts w:hint="eastAsia" w:ascii="微软雅黑" w:hAnsi="微软雅黑" w:eastAsia="微软雅黑" w:cs="微软雅黑"/>
        </w:rPr>
        <w:t>目 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Pr>
          <w:rStyle w:val="23"/>
          <w:rFonts w:hint="eastAsia" w:ascii="微软雅黑" w:hAnsi="微软雅黑" w:eastAsia="微软雅黑" w:cs="微软雅黑"/>
          <w:iCs/>
          <w:kern w:val="2"/>
          <w:sz w:val="20"/>
          <w:szCs w:val="20"/>
        </w:rPr>
        <w:fldChar w:fldCharType="begin"/>
      </w:r>
      <w:r>
        <w:rPr>
          <w:rStyle w:val="23"/>
          <w:rFonts w:hint="eastAsia" w:ascii="微软雅黑" w:hAnsi="微软雅黑" w:eastAsia="微软雅黑" w:cs="微软雅黑"/>
          <w:iCs/>
          <w:sz w:val="20"/>
          <w:szCs w:val="20"/>
        </w:rPr>
        <w:instrText xml:space="preserve"> TOC \o "1-3" \h \z \u </w:instrText>
      </w:r>
      <w:r>
        <w:rPr>
          <w:rStyle w:val="23"/>
          <w:rFonts w:hint="eastAsia" w:ascii="微软雅黑" w:hAnsi="微软雅黑" w:eastAsia="微软雅黑" w:cs="微软雅黑"/>
          <w:iCs/>
          <w:kern w:val="2"/>
          <w:sz w:val="20"/>
          <w:szCs w:val="20"/>
        </w:rPr>
        <w:fldChar w:fldCharType="separate"/>
      </w:r>
    </w:p>
    <w:p w14:paraId="4CB2F9BE">
      <w:pPr>
        <w:pStyle w:val="15"/>
        <w:tabs>
          <w:tab w:val="right" w:leader="dot" w:pos="8640"/>
        </w:tabs>
      </w:pPr>
      <w:r>
        <w:rPr>
          <w:rFonts w:hint="eastAsia" w:ascii="微软雅黑" w:hAnsi="微软雅黑" w:eastAsia="微软雅黑" w:cs="微软雅黑"/>
          <w:iCs/>
          <w:szCs w:val="20"/>
        </w:rPr>
        <w:fldChar w:fldCharType="begin"/>
      </w:r>
      <w:r>
        <w:rPr>
          <w:rFonts w:hint="eastAsia" w:ascii="微软雅黑" w:hAnsi="微软雅黑" w:eastAsia="微软雅黑" w:cs="微软雅黑"/>
          <w:iCs/>
          <w:szCs w:val="20"/>
        </w:rPr>
        <w:instrText xml:space="preserve"> HYPERLINK \l _Toc14828 </w:instrText>
      </w:r>
      <w:r>
        <w:rPr>
          <w:rFonts w:hint="eastAsia" w:ascii="微软雅黑" w:hAnsi="微软雅黑" w:eastAsia="微软雅黑" w:cs="微软雅黑"/>
          <w:iCs/>
          <w:szCs w:val="20"/>
        </w:rPr>
        <w:fldChar w:fldCharType="separate"/>
      </w:r>
      <w:r>
        <w:rPr>
          <w:rFonts w:hint="eastAsia" w:ascii="微软雅黑" w:hAnsi="微软雅黑" w:eastAsia="微软雅黑" w:cs="微软雅黑"/>
        </w:rPr>
        <w:t>1.社保办理</w:t>
      </w:r>
      <w:r>
        <w:tab/>
      </w:r>
      <w:r>
        <w:fldChar w:fldCharType="begin"/>
      </w:r>
      <w:r>
        <w:instrText xml:space="preserve"> PAGEREF _Toc14828 \h </w:instrText>
      </w:r>
      <w:r>
        <w:fldChar w:fldCharType="separate"/>
      </w:r>
      <w:r>
        <w:t>1</w:t>
      </w:r>
      <w:r>
        <w:fldChar w:fldCharType="end"/>
      </w:r>
      <w:r>
        <w:rPr>
          <w:rFonts w:hint="eastAsia" w:ascii="微软雅黑" w:hAnsi="微软雅黑" w:eastAsia="微软雅黑" w:cs="微软雅黑"/>
          <w:iCs/>
          <w:szCs w:val="20"/>
        </w:rPr>
        <w:fldChar w:fldCharType="end"/>
      </w:r>
    </w:p>
    <w:p w14:paraId="71A6283B">
      <w:pPr>
        <w:pStyle w:val="9"/>
        <w:tabs>
          <w:tab w:val="right" w:leader="dot" w:pos="8640"/>
          <w:tab w:val="clear" w:pos="8630"/>
        </w:tabs>
      </w:pPr>
      <w:r>
        <w:rPr>
          <w:rFonts w:hint="eastAsia" w:ascii="微软雅黑" w:hAnsi="微软雅黑" w:eastAsia="微软雅黑" w:cs="微软雅黑"/>
          <w:iCs/>
          <w:szCs w:val="20"/>
        </w:rPr>
        <w:fldChar w:fldCharType="begin"/>
      </w:r>
      <w:r>
        <w:rPr>
          <w:rFonts w:hint="eastAsia" w:ascii="微软雅黑" w:hAnsi="微软雅黑" w:eastAsia="微软雅黑" w:cs="微软雅黑"/>
          <w:iCs/>
          <w:szCs w:val="20"/>
        </w:rPr>
        <w:instrText xml:space="preserve"> HYPERLINK \l _Toc5595 </w:instrText>
      </w:r>
      <w:r>
        <w:rPr>
          <w:rFonts w:hint="eastAsia" w:ascii="微软雅黑" w:hAnsi="微软雅黑" w:eastAsia="微软雅黑" w:cs="微软雅黑"/>
          <w:iCs/>
          <w:szCs w:val="20"/>
        </w:rPr>
        <w:fldChar w:fldCharType="separate"/>
      </w:r>
      <w:r>
        <w:rPr>
          <w:rFonts w:hint="eastAsia" w:ascii="微软雅黑" w:hAnsi="微软雅黑" w:eastAsia="微软雅黑" w:cs="微软雅黑"/>
        </w:rPr>
        <w:t>1.1城乡居民养老保险办理</w:t>
      </w:r>
      <w:r>
        <w:tab/>
      </w:r>
      <w:r>
        <w:fldChar w:fldCharType="begin"/>
      </w:r>
      <w:r>
        <w:instrText xml:space="preserve"> PAGEREF _Toc5595 \h </w:instrText>
      </w:r>
      <w:r>
        <w:fldChar w:fldCharType="separate"/>
      </w:r>
      <w:r>
        <w:t>1</w:t>
      </w:r>
      <w:r>
        <w:fldChar w:fldCharType="end"/>
      </w:r>
      <w:r>
        <w:rPr>
          <w:rFonts w:hint="eastAsia" w:ascii="微软雅黑" w:hAnsi="微软雅黑" w:eastAsia="微软雅黑" w:cs="微软雅黑"/>
          <w:iCs/>
          <w:szCs w:val="20"/>
        </w:rPr>
        <w:fldChar w:fldCharType="end"/>
      </w:r>
    </w:p>
    <w:p w14:paraId="68934F1A">
      <w:pPr>
        <w:pStyle w:val="9"/>
        <w:tabs>
          <w:tab w:val="right" w:leader="dot" w:pos="8640"/>
          <w:tab w:val="clear" w:pos="8630"/>
        </w:tabs>
      </w:pPr>
      <w:r>
        <w:rPr>
          <w:rFonts w:hint="eastAsia" w:ascii="微软雅黑" w:hAnsi="微软雅黑" w:eastAsia="微软雅黑" w:cs="微软雅黑"/>
          <w:iCs/>
          <w:szCs w:val="20"/>
        </w:rPr>
        <w:fldChar w:fldCharType="begin"/>
      </w:r>
      <w:r>
        <w:rPr>
          <w:rFonts w:hint="eastAsia" w:ascii="微软雅黑" w:hAnsi="微软雅黑" w:eastAsia="微软雅黑" w:cs="微软雅黑"/>
          <w:iCs/>
          <w:szCs w:val="20"/>
        </w:rPr>
        <w:instrText xml:space="preserve"> HYPERLINK \l _Toc7977 </w:instrText>
      </w:r>
      <w:r>
        <w:rPr>
          <w:rFonts w:hint="eastAsia" w:ascii="微软雅黑" w:hAnsi="微软雅黑" w:eastAsia="微软雅黑" w:cs="微软雅黑"/>
          <w:iCs/>
          <w:szCs w:val="20"/>
        </w:rPr>
        <w:fldChar w:fldCharType="separate"/>
      </w:r>
      <w:r>
        <w:rPr>
          <w:rFonts w:hint="eastAsia" w:ascii="微软雅黑" w:hAnsi="微软雅黑" w:eastAsia="微软雅黑" w:cs="微软雅黑"/>
        </w:rPr>
        <w:t>1</w:t>
      </w:r>
      <w:r>
        <w:rPr>
          <w:rFonts w:ascii="微软雅黑" w:hAnsi="微软雅黑" w:eastAsia="微软雅黑" w:cs="微软雅黑"/>
        </w:rPr>
        <w:t>.2</w:t>
      </w:r>
      <w:r>
        <w:rPr>
          <w:rFonts w:hint="eastAsia" w:ascii="微软雅黑" w:hAnsi="微软雅黑" w:eastAsia="微软雅黑" w:cs="微软雅黑"/>
        </w:rPr>
        <w:t>城乡居民基本医疗保险费办理</w:t>
      </w:r>
      <w:r>
        <w:tab/>
      </w:r>
      <w:r>
        <w:fldChar w:fldCharType="begin"/>
      </w:r>
      <w:r>
        <w:instrText xml:space="preserve"> PAGEREF _Toc7977 \h </w:instrText>
      </w:r>
      <w:r>
        <w:fldChar w:fldCharType="separate"/>
      </w:r>
      <w:r>
        <w:t>4</w:t>
      </w:r>
      <w:r>
        <w:fldChar w:fldCharType="end"/>
      </w:r>
      <w:r>
        <w:rPr>
          <w:rFonts w:hint="eastAsia" w:ascii="微软雅黑" w:hAnsi="微软雅黑" w:eastAsia="微软雅黑" w:cs="微软雅黑"/>
          <w:iCs/>
          <w:szCs w:val="20"/>
        </w:rPr>
        <w:fldChar w:fldCharType="end"/>
      </w:r>
    </w:p>
    <w:p w14:paraId="2F8C368D">
      <w:pPr>
        <w:pStyle w:val="9"/>
        <w:tabs>
          <w:tab w:val="right" w:leader="dot" w:pos="8640"/>
          <w:tab w:val="clear" w:pos="8630"/>
        </w:tabs>
      </w:pPr>
      <w:r>
        <w:rPr>
          <w:rFonts w:hint="eastAsia" w:ascii="微软雅黑" w:hAnsi="微软雅黑" w:eastAsia="微软雅黑" w:cs="微软雅黑"/>
          <w:iCs/>
          <w:szCs w:val="20"/>
        </w:rPr>
        <w:fldChar w:fldCharType="begin"/>
      </w:r>
      <w:r>
        <w:rPr>
          <w:rFonts w:hint="eastAsia" w:ascii="微软雅黑" w:hAnsi="微软雅黑" w:eastAsia="微软雅黑" w:cs="微软雅黑"/>
          <w:iCs/>
          <w:szCs w:val="20"/>
        </w:rPr>
        <w:instrText xml:space="preserve"> HYPERLINK \l _Toc9176 </w:instrText>
      </w:r>
      <w:r>
        <w:rPr>
          <w:rFonts w:hint="eastAsia" w:ascii="微软雅黑" w:hAnsi="微软雅黑" w:eastAsia="微软雅黑" w:cs="微软雅黑"/>
          <w:iCs/>
          <w:szCs w:val="20"/>
        </w:rPr>
        <w:fldChar w:fldCharType="separate"/>
      </w:r>
      <w:r>
        <w:rPr>
          <w:rFonts w:hint="eastAsia" w:ascii="微软雅黑" w:hAnsi="微软雅黑" w:eastAsia="微软雅黑" w:cs="微软雅黑"/>
        </w:rPr>
        <w:t>1.</w:t>
      </w:r>
      <w:r>
        <w:rPr>
          <w:rFonts w:ascii="微软雅黑" w:hAnsi="微软雅黑" w:eastAsia="微软雅黑" w:cs="微软雅黑"/>
        </w:rPr>
        <w:t>3</w:t>
      </w:r>
      <w:r>
        <w:rPr>
          <w:rFonts w:hint="eastAsia" w:ascii="微软雅黑" w:hAnsi="微软雅黑" w:eastAsia="微软雅黑" w:cs="微软雅黑"/>
        </w:rPr>
        <w:t>城乡居民养老保险申报记录查询</w:t>
      </w:r>
      <w:r>
        <w:tab/>
      </w:r>
      <w:r>
        <w:fldChar w:fldCharType="begin"/>
      </w:r>
      <w:r>
        <w:instrText xml:space="preserve"> PAGEREF _Toc9176 \h </w:instrText>
      </w:r>
      <w:r>
        <w:fldChar w:fldCharType="separate"/>
      </w:r>
      <w:r>
        <w:t>7</w:t>
      </w:r>
      <w:r>
        <w:fldChar w:fldCharType="end"/>
      </w:r>
      <w:r>
        <w:rPr>
          <w:rFonts w:hint="eastAsia" w:ascii="微软雅黑" w:hAnsi="微软雅黑" w:eastAsia="微软雅黑" w:cs="微软雅黑"/>
          <w:iCs/>
          <w:szCs w:val="20"/>
        </w:rPr>
        <w:fldChar w:fldCharType="end"/>
      </w:r>
    </w:p>
    <w:p w14:paraId="42AEC852">
      <w:pPr>
        <w:pStyle w:val="9"/>
        <w:tabs>
          <w:tab w:val="right" w:leader="dot" w:pos="8640"/>
          <w:tab w:val="clear" w:pos="8630"/>
        </w:tabs>
      </w:pPr>
      <w:r>
        <w:rPr>
          <w:rFonts w:hint="eastAsia" w:ascii="微软雅黑" w:hAnsi="微软雅黑" w:eastAsia="微软雅黑" w:cs="微软雅黑"/>
          <w:iCs/>
          <w:szCs w:val="20"/>
        </w:rPr>
        <w:fldChar w:fldCharType="begin"/>
      </w:r>
      <w:r>
        <w:rPr>
          <w:rFonts w:hint="eastAsia" w:ascii="微软雅黑" w:hAnsi="微软雅黑" w:eastAsia="微软雅黑" w:cs="微软雅黑"/>
          <w:iCs/>
          <w:szCs w:val="20"/>
        </w:rPr>
        <w:instrText xml:space="preserve"> HYPERLINK \l _Toc3123 </w:instrText>
      </w:r>
      <w:r>
        <w:rPr>
          <w:rFonts w:hint="eastAsia" w:ascii="微软雅黑" w:hAnsi="微软雅黑" w:eastAsia="微软雅黑" w:cs="微软雅黑"/>
          <w:iCs/>
          <w:szCs w:val="20"/>
        </w:rPr>
        <w:fldChar w:fldCharType="separate"/>
      </w:r>
      <w:r>
        <w:rPr>
          <w:rFonts w:hint="eastAsia" w:ascii="微软雅黑" w:hAnsi="微软雅黑" w:eastAsia="微软雅黑" w:cs="微软雅黑"/>
        </w:rPr>
        <w:t>1</w:t>
      </w:r>
      <w:r>
        <w:rPr>
          <w:rFonts w:ascii="微软雅黑" w:hAnsi="微软雅黑" w:eastAsia="微软雅黑" w:cs="微软雅黑"/>
        </w:rPr>
        <w:t>.4</w:t>
      </w:r>
      <w:r>
        <w:rPr>
          <w:rFonts w:hint="eastAsia" w:ascii="微软雅黑" w:hAnsi="微软雅黑" w:eastAsia="微软雅黑" w:cs="微软雅黑"/>
        </w:rPr>
        <w:t>城乡居民医疗已申报作废</w:t>
      </w:r>
      <w:r>
        <w:tab/>
      </w:r>
      <w:r>
        <w:fldChar w:fldCharType="begin"/>
      </w:r>
      <w:r>
        <w:instrText xml:space="preserve"> PAGEREF _Toc3123 \h </w:instrText>
      </w:r>
      <w:r>
        <w:fldChar w:fldCharType="separate"/>
      </w:r>
      <w:r>
        <w:t>9</w:t>
      </w:r>
      <w:r>
        <w:fldChar w:fldCharType="end"/>
      </w:r>
      <w:r>
        <w:rPr>
          <w:rFonts w:hint="eastAsia" w:ascii="微软雅黑" w:hAnsi="微软雅黑" w:eastAsia="微软雅黑" w:cs="微软雅黑"/>
          <w:iCs/>
          <w:szCs w:val="20"/>
        </w:rPr>
        <w:fldChar w:fldCharType="end"/>
      </w:r>
    </w:p>
    <w:p w14:paraId="6D5E19DA">
      <w:pPr>
        <w:pStyle w:val="9"/>
        <w:tabs>
          <w:tab w:val="right" w:leader="dot" w:pos="8640"/>
          <w:tab w:val="clear" w:pos="8630"/>
        </w:tabs>
      </w:pPr>
      <w:r>
        <w:rPr>
          <w:rFonts w:hint="eastAsia" w:ascii="微软雅黑" w:hAnsi="微软雅黑" w:eastAsia="微软雅黑" w:cs="微软雅黑"/>
          <w:iCs/>
          <w:szCs w:val="20"/>
        </w:rPr>
        <w:fldChar w:fldCharType="begin"/>
      </w:r>
      <w:r>
        <w:rPr>
          <w:rFonts w:hint="eastAsia" w:ascii="微软雅黑" w:hAnsi="微软雅黑" w:eastAsia="微软雅黑" w:cs="微软雅黑"/>
          <w:iCs/>
          <w:szCs w:val="20"/>
        </w:rPr>
        <w:instrText xml:space="preserve"> HYPERLINK \l _Toc10078 </w:instrText>
      </w:r>
      <w:r>
        <w:rPr>
          <w:rFonts w:hint="eastAsia" w:ascii="微软雅黑" w:hAnsi="微软雅黑" w:eastAsia="微软雅黑" w:cs="微软雅黑"/>
          <w:iCs/>
          <w:szCs w:val="20"/>
        </w:rPr>
        <w:fldChar w:fldCharType="separate"/>
      </w:r>
      <w:r>
        <w:rPr>
          <w:rFonts w:hint="eastAsia" w:ascii="微软雅黑" w:hAnsi="微软雅黑" w:eastAsia="微软雅黑" w:cs="微软雅黑"/>
        </w:rPr>
        <w:t>1.</w:t>
      </w:r>
      <w:r>
        <w:rPr>
          <w:rFonts w:ascii="微软雅黑" w:hAnsi="微软雅黑" w:eastAsia="微软雅黑" w:cs="微软雅黑"/>
        </w:rPr>
        <w:t>5</w:t>
      </w:r>
      <w:r>
        <w:rPr>
          <w:rFonts w:hint="eastAsia" w:ascii="微软雅黑" w:hAnsi="微软雅黑" w:eastAsia="微软雅黑" w:cs="微软雅黑"/>
        </w:rPr>
        <w:t>城乡居民养老保险已缴费查询</w:t>
      </w:r>
      <w:r>
        <w:tab/>
      </w:r>
      <w:r>
        <w:fldChar w:fldCharType="begin"/>
      </w:r>
      <w:r>
        <w:instrText xml:space="preserve"> PAGEREF _Toc10078 \h </w:instrText>
      </w:r>
      <w:r>
        <w:fldChar w:fldCharType="separate"/>
      </w:r>
      <w:r>
        <w:t>10</w:t>
      </w:r>
      <w:r>
        <w:fldChar w:fldCharType="end"/>
      </w:r>
      <w:r>
        <w:rPr>
          <w:rFonts w:hint="eastAsia" w:ascii="微软雅黑" w:hAnsi="微软雅黑" w:eastAsia="微软雅黑" w:cs="微软雅黑"/>
          <w:iCs/>
          <w:szCs w:val="20"/>
        </w:rPr>
        <w:fldChar w:fldCharType="end"/>
      </w:r>
    </w:p>
    <w:p w14:paraId="03BB2061">
      <w:pPr>
        <w:pStyle w:val="9"/>
        <w:tabs>
          <w:tab w:val="right" w:leader="dot" w:pos="8640"/>
          <w:tab w:val="clear" w:pos="8630"/>
        </w:tabs>
      </w:pPr>
      <w:r>
        <w:rPr>
          <w:rFonts w:hint="eastAsia" w:ascii="微软雅黑" w:hAnsi="微软雅黑" w:eastAsia="微软雅黑" w:cs="微软雅黑"/>
          <w:iCs/>
          <w:szCs w:val="20"/>
        </w:rPr>
        <w:fldChar w:fldCharType="begin"/>
      </w:r>
      <w:r>
        <w:rPr>
          <w:rFonts w:hint="eastAsia" w:ascii="微软雅黑" w:hAnsi="微软雅黑" w:eastAsia="微软雅黑" w:cs="微软雅黑"/>
          <w:iCs/>
          <w:szCs w:val="20"/>
        </w:rPr>
        <w:instrText xml:space="preserve"> HYPERLINK \l _Toc29405 </w:instrText>
      </w:r>
      <w:r>
        <w:rPr>
          <w:rFonts w:hint="eastAsia" w:ascii="微软雅黑" w:hAnsi="微软雅黑" w:eastAsia="微软雅黑" w:cs="微软雅黑"/>
          <w:iCs/>
          <w:szCs w:val="20"/>
        </w:rPr>
        <w:fldChar w:fldCharType="separate"/>
      </w:r>
      <w:r>
        <w:rPr>
          <w:rFonts w:hint="eastAsia" w:ascii="微软雅黑" w:hAnsi="微软雅黑" w:eastAsia="微软雅黑" w:cs="微软雅黑"/>
        </w:rPr>
        <w:t>1</w:t>
      </w:r>
      <w:r>
        <w:rPr>
          <w:rFonts w:ascii="微软雅黑" w:hAnsi="微软雅黑" w:eastAsia="微软雅黑" w:cs="微软雅黑"/>
        </w:rPr>
        <w:t>.6</w:t>
      </w:r>
      <w:r>
        <w:rPr>
          <w:rFonts w:hint="eastAsia" w:ascii="微软雅黑" w:hAnsi="微软雅黑" w:eastAsia="微软雅黑" w:cs="微软雅黑"/>
        </w:rPr>
        <w:t>城乡居民医疗已缴费查询</w:t>
      </w:r>
      <w:r>
        <w:tab/>
      </w:r>
      <w:r>
        <w:fldChar w:fldCharType="begin"/>
      </w:r>
      <w:r>
        <w:instrText xml:space="preserve"> PAGEREF _Toc29405 \h </w:instrText>
      </w:r>
      <w:r>
        <w:fldChar w:fldCharType="separate"/>
      </w:r>
      <w:r>
        <w:t>10</w:t>
      </w:r>
      <w:r>
        <w:fldChar w:fldCharType="end"/>
      </w:r>
      <w:r>
        <w:rPr>
          <w:rFonts w:hint="eastAsia" w:ascii="微软雅黑" w:hAnsi="微软雅黑" w:eastAsia="微软雅黑" w:cs="微软雅黑"/>
          <w:iCs/>
          <w:szCs w:val="20"/>
        </w:rPr>
        <w:fldChar w:fldCharType="end"/>
      </w:r>
    </w:p>
    <w:p w14:paraId="699ABBC2">
      <w:pPr>
        <w:pStyle w:val="9"/>
        <w:tabs>
          <w:tab w:val="right" w:leader="dot" w:pos="8640"/>
          <w:tab w:val="clear" w:pos="8630"/>
        </w:tabs>
      </w:pPr>
      <w:r>
        <w:rPr>
          <w:rFonts w:hint="eastAsia" w:ascii="微软雅黑" w:hAnsi="微软雅黑" w:eastAsia="微软雅黑" w:cs="微软雅黑"/>
          <w:iCs/>
          <w:szCs w:val="20"/>
        </w:rPr>
        <w:fldChar w:fldCharType="begin"/>
      </w:r>
      <w:r>
        <w:rPr>
          <w:rFonts w:hint="eastAsia" w:ascii="微软雅黑" w:hAnsi="微软雅黑" w:eastAsia="微软雅黑" w:cs="微软雅黑"/>
          <w:iCs/>
          <w:szCs w:val="20"/>
        </w:rPr>
        <w:instrText xml:space="preserve"> HYPERLINK \l _Toc11343 </w:instrText>
      </w:r>
      <w:r>
        <w:rPr>
          <w:rFonts w:hint="eastAsia" w:ascii="微软雅黑" w:hAnsi="微软雅黑" w:eastAsia="微软雅黑" w:cs="微软雅黑"/>
          <w:iCs/>
          <w:szCs w:val="20"/>
        </w:rPr>
        <w:fldChar w:fldCharType="separate"/>
      </w:r>
      <w:r>
        <w:rPr>
          <w:rFonts w:hint="eastAsia" w:ascii="微软雅黑" w:hAnsi="微软雅黑" w:eastAsia="微软雅黑" w:cs="微软雅黑"/>
        </w:rPr>
        <w:t>1.</w:t>
      </w:r>
      <w:r>
        <w:rPr>
          <w:rFonts w:ascii="微软雅黑" w:hAnsi="微软雅黑" w:eastAsia="微软雅黑" w:cs="微软雅黑"/>
        </w:rPr>
        <w:t>7</w:t>
      </w:r>
      <w:r>
        <w:rPr>
          <w:rFonts w:hint="eastAsia" w:ascii="微软雅黑" w:hAnsi="微软雅黑" w:eastAsia="微软雅黑" w:cs="微软雅黑"/>
        </w:rPr>
        <w:t>城乡居民养老保险选择缴费金额</w:t>
      </w:r>
      <w:r>
        <w:tab/>
      </w:r>
      <w:r>
        <w:fldChar w:fldCharType="begin"/>
      </w:r>
      <w:r>
        <w:instrText xml:space="preserve"> PAGEREF _Toc11343 \h </w:instrText>
      </w:r>
      <w:r>
        <w:fldChar w:fldCharType="separate"/>
      </w:r>
      <w:r>
        <w:t>11</w:t>
      </w:r>
      <w:r>
        <w:fldChar w:fldCharType="end"/>
      </w:r>
      <w:r>
        <w:rPr>
          <w:rFonts w:hint="eastAsia" w:ascii="微软雅黑" w:hAnsi="微软雅黑" w:eastAsia="微软雅黑" w:cs="微软雅黑"/>
          <w:iCs/>
          <w:szCs w:val="20"/>
        </w:rPr>
        <w:fldChar w:fldCharType="end"/>
      </w:r>
    </w:p>
    <w:p w14:paraId="22674356">
      <w:pPr>
        <w:pStyle w:val="9"/>
        <w:tabs>
          <w:tab w:val="right" w:leader="dot" w:pos="8640"/>
          <w:tab w:val="clear" w:pos="8630"/>
        </w:tabs>
      </w:pPr>
      <w:r>
        <w:rPr>
          <w:rFonts w:hint="eastAsia" w:ascii="微软雅黑" w:hAnsi="微软雅黑" w:eastAsia="微软雅黑" w:cs="微软雅黑"/>
          <w:iCs/>
          <w:szCs w:val="20"/>
        </w:rPr>
        <w:fldChar w:fldCharType="begin"/>
      </w:r>
      <w:r>
        <w:rPr>
          <w:rFonts w:hint="eastAsia" w:ascii="微软雅黑" w:hAnsi="微软雅黑" w:eastAsia="微软雅黑" w:cs="微软雅黑"/>
          <w:iCs/>
          <w:szCs w:val="20"/>
        </w:rPr>
        <w:instrText xml:space="preserve"> HYPERLINK \l _Toc4952 </w:instrText>
      </w:r>
      <w:r>
        <w:rPr>
          <w:rFonts w:hint="eastAsia" w:ascii="微软雅黑" w:hAnsi="微软雅黑" w:eastAsia="微软雅黑" w:cs="微软雅黑"/>
          <w:iCs/>
          <w:szCs w:val="20"/>
        </w:rPr>
        <w:fldChar w:fldCharType="separate"/>
      </w:r>
      <w:r>
        <w:rPr>
          <w:rFonts w:ascii="微软雅黑" w:hAnsi="微软雅黑" w:eastAsia="微软雅黑" w:cs="微软雅黑"/>
        </w:rPr>
        <w:t>1.8</w:t>
      </w:r>
      <w:r>
        <w:rPr>
          <w:rFonts w:hint="eastAsia" w:ascii="微软雅黑" w:hAnsi="微软雅黑" w:eastAsia="微软雅黑" w:cs="微软雅黑"/>
        </w:rPr>
        <w:t>缴费金额作废</w:t>
      </w:r>
      <w:r>
        <w:tab/>
      </w:r>
      <w:r>
        <w:fldChar w:fldCharType="begin"/>
      </w:r>
      <w:r>
        <w:instrText xml:space="preserve"> PAGEREF _Toc4952 \h </w:instrText>
      </w:r>
      <w:r>
        <w:fldChar w:fldCharType="separate"/>
      </w:r>
      <w:r>
        <w:t>12</w:t>
      </w:r>
      <w:r>
        <w:fldChar w:fldCharType="end"/>
      </w:r>
      <w:r>
        <w:rPr>
          <w:rFonts w:hint="eastAsia" w:ascii="微软雅黑" w:hAnsi="微软雅黑" w:eastAsia="微软雅黑" w:cs="微软雅黑"/>
          <w:iCs/>
          <w:szCs w:val="20"/>
        </w:rPr>
        <w:fldChar w:fldCharType="end"/>
      </w:r>
    </w:p>
    <w:p w14:paraId="3D023B3E">
      <w:pPr>
        <w:pStyle w:val="9"/>
        <w:tabs>
          <w:tab w:val="right" w:leader="dot" w:pos="8640"/>
          <w:tab w:val="clear" w:pos="8630"/>
        </w:tabs>
      </w:pPr>
      <w:r>
        <w:rPr>
          <w:rFonts w:hint="eastAsia" w:ascii="微软雅黑" w:hAnsi="微软雅黑" w:eastAsia="微软雅黑" w:cs="微软雅黑"/>
          <w:iCs/>
          <w:szCs w:val="20"/>
        </w:rPr>
        <w:fldChar w:fldCharType="begin"/>
      </w:r>
      <w:r>
        <w:rPr>
          <w:rFonts w:hint="eastAsia" w:ascii="微软雅黑" w:hAnsi="微软雅黑" w:eastAsia="微软雅黑" w:cs="微软雅黑"/>
          <w:iCs/>
          <w:szCs w:val="20"/>
        </w:rPr>
        <w:instrText xml:space="preserve"> HYPERLINK \l _Toc11917 </w:instrText>
      </w:r>
      <w:r>
        <w:rPr>
          <w:rFonts w:hint="eastAsia" w:ascii="微软雅黑" w:hAnsi="微软雅黑" w:eastAsia="微软雅黑" w:cs="微软雅黑"/>
          <w:iCs/>
          <w:szCs w:val="20"/>
        </w:rPr>
        <w:fldChar w:fldCharType="separate"/>
      </w:r>
      <w:r>
        <w:rPr>
          <w:rFonts w:ascii="微软雅黑" w:hAnsi="微软雅黑" w:eastAsia="微软雅黑" w:cs="微软雅黑"/>
        </w:rPr>
        <w:t>1.9</w:t>
      </w:r>
      <w:r>
        <w:rPr>
          <w:rFonts w:hint="eastAsia" w:ascii="微软雅黑" w:hAnsi="微软雅黑" w:eastAsia="微软雅黑" w:cs="微软雅黑"/>
          <w:lang w:val="en-US" w:eastAsia="zh-CN"/>
        </w:rPr>
        <w:t>个人委托扣款</w:t>
      </w:r>
      <w:r>
        <w:rPr>
          <w:rFonts w:hint="eastAsia" w:ascii="微软雅黑" w:hAnsi="微软雅黑" w:eastAsia="微软雅黑" w:cs="微软雅黑"/>
        </w:rPr>
        <w:t>缴费协议</w:t>
      </w:r>
      <w:r>
        <w:tab/>
      </w:r>
      <w:r>
        <w:fldChar w:fldCharType="begin"/>
      </w:r>
      <w:r>
        <w:instrText xml:space="preserve"> PAGEREF _Toc11917 \h </w:instrText>
      </w:r>
      <w:r>
        <w:fldChar w:fldCharType="separate"/>
      </w:r>
      <w:r>
        <w:t>13</w:t>
      </w:r>
      <w:r>
        <w:fldChar w:fldCharType="end"/>
      </w:r>
      <w:r>
        <w:rPr>
          <w:rFonts w:hint="eastAsia" w:ascii="微软雅黑" w:hAnsi="微软雅黑" w:eastAsia="微软雅黑" w:cs="微软雅黑"/>
          <w:iCs/>
          <w:szCs w:val="20"/>
        </w:rPr>
        <w:fldChar w:fldCharType="end"/>
      </w:r>
    </w:p>
    <w:p w14:paraId="1FC6C560">
      <w:pPr>
        <w:pStyle w:val="15"/>
        <w:tabs>
          <w:tab w:val="right" w:leader="dot" w:pos="8640"/>
        </w:tabs>
      </w:pPr>
      <w:r>
        <w:rPr>
          <w:rFonts w:hint="eastAsia" w:ascii="微软雅黑" w:hAnsi="微软雅黑" w:eastAsia="微软雅黑" w:cs="微软雅黑"/>
          <w:iCs/>
          <w:szCs w:val="20"/>
        </w:rPr>
        <w:fldChar w:fldCharType="begin"/>
      </w:r>
      <w:r>
        <w:rPr>
          <w:rFonts w:hint="eastAsia" w:ascii="微软雅黑" w:hAnsi="微软雅黑" w:eastAsia="微软雅黑" w:cs="微软雅黑"/>
          <w:iCs/>
          <w:szCs w:val="20"/>
        </w:rPr>
        <w:instrText xml:space="preserve"> HYPERLINK \l _Toc3245 </w:instrText>
      </w:r>
      <w:r>
        <w:rPr>
          <w:rFonts w:hint="eastAsia" w:ascii="微软雅黑" w:hAnsi="微软雅黑" w:eastAsia="微软雅黑" w:cs="微软雅黑"/>
          <w:iCs/>
          <w:szCs w:val="20"/>
        </w:rPr>
        <w:fldChar w:fldCharType="separate"/>
      </w:r>
      <w:r>
        <w:rPr>
          <w:rFonts w:hint="eastAsia" w:ascii="微软雅黑" w:hAnsi="微软雅黑" w:eastAsia="微软雅黑" w:cs="微软雅黑"/>
        </w:rPr>
        <w:t>2.社保缴费证明</w:t>
      </w:r>
      <w:r>
        <w:tab/>
      </w:r>
      <w:r>
        <w:fldChar w:fldCharType="begin"/>
      </w:r>
      <w:r>
        <w:instrText xml:space="preserve"> PAGEREF _Toc3245 \h </w:instrText>
      </w:r>
      <w:r>
        <w:fldChar w:fldCharType="separate"/>
      </w:r>
      <w:r>
        <w:t>15</w:t>
      </w:r>
      <w:r>
        <w:fldChar w:fldCharType="end"/>
      </w:r>
      <w:r>
        <w:rPr>
          <w:rFonts w:hint="eastAsia" w:ascii="微软雅黑" w:hAnsi="微软雅黑" w:eastAsia="微软雅黑" w:cs="微软雅黑"/>
          <w:iCs/>
          <w:szCs w:val="20"/>
        </w:rPr>
        <w:fldChar w:fldCharType="end"/>
      </w:r>
    </w:p>
    <w:p w14:paraId="1C0196F2">
      <w:pPr>
        <w:pStyle w:val="9"/>
        <w:tabs>
          <w:tab w:val="right" w:leader="dot" w:pos="8640"/>
          <w:tab w:val="clear" w:pos="8630"/>
        </w:tabs>
      </w:pPr>
      <w:r>
        <w:rPr>
          <w:rFonts w:hint="eastAsia" w:ascii="微软雅黑" w:hAnsi="微软雅黑" w:eastAsia="微软雅黑" w:cs="微软雅黑"/>
          <w:iCs/>
          <w:szCs w:val="20"/>
        </w:rPr>
        <w:fldChar w:fldCharType="begin"/>
      </w:r>
      <w:r>
        <w:rPr>
          <w:rFonts w:hint="eastAsia" w:ascii="微软雅黑" w:hAnsi="微软雅黑" w:eastAsia="微软雅黑" w:cs="微软雅黑"/>
          <w:iCs/>
          <w:szCs w:val="20"/>
        </w:rPr>
        <w:instrText xml:space="preserve"> HYPERLINK \l _Toc16642 </w:instrText>
      </w:r>
      <w:r>
        <w:rPr>
          <w:rFonts w:hint="eastAsia" w:ascii="微软雅黑" w:hAnsi="微软雅黑" w:eastAsia="微软雅黑" w:cs="微软雅黑"/>
          <w:iCs/>
          <w:szCs w:val="20"/>
        </w:rPr>
        <w:fldChar w:fldCharType="separate"/>
      </w:r>
      <w:r>
        <w:rPr>
          <w:rFonts w:hint="eastAsia" w:ascii="微软雅黑" w:hAnsi="微软雅黑" w:eastAsia="微软雅黑" w:cs="微软雅黑"/>
        </w:rPr>
        <w:t>2.1开具社会保险费缴费记录</w:t>
      </w:r>
      <w:r>
        <w:tab/>
      </w:r>
      <w:r>
        <w:fldChar w:fldCharType="begin"/>
      </w:r>
      <w:r>
        <w:instrText xml:space="preserve"> PAGEREF _Toc16642 \h </w:instrText>
      </w:r>
      <w:r>
        <w:fldChar w:fldCharType="separate"/>
      </w:r>
      <w:r>
        <w:t>15</w:t>
      </w:r>
      <w:r>
        <w:fldChar w:fldCharType="end"/>
      </w:r>
      <w:r>
        <w:rPr>
          <w:rFonts w:hint="eastAsia" w:ascii="微软雅黑" w:hAnsi="微软雅黑" w:eastAsia="微软雅黑" w:cs="微软雅黑"/>
          <w:iCs/>
          <w:szCs w:val="20"/>
        </w:rPr>
        <w:fldChar w:fldCharType="end"/>
      </w:r>
    </w:p>
    <w:p w14:paraId="7BE20694">
      <w:pPr>
        <w:pStyle w:val="9"/>
        <w:tabs>
          <w:tab w:val="right" w:leader="dot" w:pos="8640"/>
          <w:tab w:val="clear" w:pos="8630"/>
        </w:tabs>
      </w:pPr>
      <w:r>
        <w:rPr>
          <w:rFonts w:hint="eastAsia" w:ascii="微软雅黑" w:hAnsi="微软雅黑" w:eastAsia="微软雅黑" w:cs="微软雅黑"/>
          <w:iCs/>
          <w:szCs w:val="20"/>
        </w:rPr>
        <w:fldChar w:fldCharType="begin"/>
      </w:r>
      <w:r>
        <w:rPr>
          <w:rFonts w:hint="eastAsia" w:ascii="微软雅黑" w:hAnsi="微软雅黑" w:eastAsia="微软雅黑" w:cs="微软雅黑"/>
          <w:iCs/>
          <w:szCs w:val="20"/>
        </w:rPr>
        <w:instrText xml:space="preserve"> HYPERLINK \l _Toc24088 </w:instrText>
      </w:r>
      <w:r>
        <w:rPr>
          <w:rFonts w:hint="eastAsia" w:ascii="微软雅黑" w:hAnsi="微软雅黑" w:eastAsia="微软雅黑" w:cs="微软雅黑"/>
          <w:iCs/>
          <w:szCs w:val="20"/>
        </w:rPr>
        <w:fldChar w:fldCharType="separate"/>
      </w:r>
      <w:r>
        <w:rPr>
          <w:rFonts w:hint="eastAsia" w:ascii="微软雅黑" w:hAnsi="微软雅黑" w:eastAsia="微软雅黑" w:cs="微软雅黑"/>
        </w:rPr>
        <w:t>2.2社保缴费</w:t>
      </w:r>
      <w:r>
        <w:rPr>
          <w:rFonts w:hint="eastAsia" w:ascii="微软雅黑" w:hAnsi="微软雅黑" w:eastAsia="微软雅黑" w:cs="微软雅黑"/>
          <w:lang w:val="en-US" w:eastAsia="zh-CN"/>
        </w:rPr>
        <w:t>证明</w:t>
      </w:r>
      <w:r>
        <w:rPr>
          <w:rFonts w:hint="eastAsia" w:ascii="微软雅黑" w:hAnsi="微软雅黑" w:eastAsia="微软雅黑" w:cs="微软雅黑"/>
        </w:rPr>
        <w:t>下载</w:t>
      </w:r>
      <w:r>
        <w:tab/>
      </w:r>
      <w:r>
        <w:fldChar w:fldCharType="begin"/>
      </w:r>
      <w:r>
        <w:instrText xml:space="preserve"> PAGEREF _Toc24088 \h </w:instrText>
      </w:r>
      <w:r>
        <w:fldChar w:fldCharType="separate"/>
      </w:r>
      <w:r>
        <w:t>16</w:t>
      </w:r>
      <w:r>
        <w:fldChar w:fldCharType="end"/>
      </w:r>
      <w:r>
        <w:rPr>
          <w:rFonts w:hint="eastAsia" w:ascii="微软雅黑" w:hAnsi="微软雅黑" w:eastAsia="微软雅黑" w:cs="微软雅黑"/>
          <w:iCs/>
          <w:szCs w:val="20"/>
        </w:rPr>
        <w:fldChar w:fldCharType="end"/>
      </w:r>
    </w:p>
    <w:p w14:paraId="7F362543">
      <w:pPr>
        <w:pStyle w:val="9"/>
        <w:tabs>
          <w:tab w:val="right" w:leader="dot" w:pos="8640"/>
          <w:tab w:val="clear" w:pos="8630"/>
        </w:tabs>
      </w:pPr>
      <w:r>
        <w:rPr>
          <w:rFonts w:hint="eastAsia" w:ascii="微软雅黑" w:hAnsi="微软雅黑" w:eastAsia="微软雅黑" w:cs="微软雅黑"/>
          <w:iCs/>
          <w:szCs w:val="20"/>
        </w:rPr>
        <w:fldChar w:fldCharType="begin"/>
      </w:r>
      <w:r>
        <w:rPr>
          <w:rFonts w:hint="eastAsia" w:ascii="微软雅黑" w:hAnsi="微软雅黑" w:eastAsia="微软雅黑" w:cs="微软雅黑"/>
          <w:iCs/>
          <w:szCs w:val="20"/>
        </w:rPr>
        <w:instrText xml:space="preserve"> HYPERLINK \l _Toc9736 </w:instrText>
      </w:r>
      <w:r>
        <w:rPr>
          <w:rFonts w:hint="eastAsia" w:ascii="微软雅黑" w:hAnsi="微软雅黑" w:eastAsia="微软雅黑" w:cs="微软雅黑"/>
          <w:iCs/>
          <w:szCs w:val="20"/>
        </w:rPr>
        <w:fldChar w:fldCharType="separate"/>
      </w:r>
      <w:r>
        <w:rPr>
          <w:rFonts w:hint="eastAsia" w:ascii="微软雅黑" w:hAnsi="微软雅黑" w:eastAsia="微软雅黑" w:cs="微软雅黑"/>
        </w:rPr>
        <w:t>2.3社保缴费</w:t>
      </w:r>
      <w:r>
        <w:rPr>
          <w:rFonts w:hint="eastAsia" w:ascii="微软雅黑" w:hAnsi="微软雅黑" w:eastAsia="微软雅黑" w:cs="微软雅黑"/>
          <w:lang w:val="en-US" w:eastAsia="zh-CN"/>
        </w:rPr>
        <w:t>证明</w:t>
      </w:r>
      <w:r>
        <w:rPr>
          <w:rFonts w:hint="eastAsia" w:ascii="微软雅黑" w:hAnsi="微软雅黑" w:eastAsia="微软雅黑" w:cs="微软雅黑"/>
        </w:rPr>
        <w:t>查验</w:t>
      </w:r>
      <w:r>
        <w:tab/>
      </w:r>
      <w:r>
        <w:fldChar w:fldCharType="begin"/>
      </w:r>
      <w:r>
        <w:instrText xml:space="preserve"> PAGEREF _Toc9736 \h </w:instrText>
      </w:r>
      <w:r>
        <w:fldChar w:fldCharType="separate"/>
      </w:r>
      <w:r>
        <w:t>17</w:t>
      </w:r>
      <w:r>
        <w:fldChar w:fldCharType="end"/>
      </w:r>
      <w:r>
        <w:rPr>
          <w:rFonts w:hint="eastAsia" w:ascii="微软雅黑" w:hAnsi="微软雅黑" w:eastAsia="微软雅黑" w:cs="微软雅黑"/>
          <w:iCs/>
          <w:szCs w:val="20"/>
        </w:rPr>
        <w:fldChar w:fldCharType="end"/>
      </w:r>
    </w:p>
    <w:p w14:paraId="3BD195EF">
      <w:pPr>
        <w:pStyle w:val="2"/>
        <w:spacing w:line="360" w:lineRule="auto"/>
        <w:jc w:val="center"/>
        <w:rPr>
          <w:rStyle w:val="23"/>
          <w:rFonts w:ascii="微软雅黑" w:hAnsi="微软雅黑" w:eastAsia="微软雅黑" w:cs="微软雅黑"/>
          <w:iCs/>
          <w:sz w:val="20"/>
          <w:szCs w:val="20"/>
        </w:rPr>
        <w:sectPr>
          <w:headerReference r:id="rId3" w:type="default"/>
          <w:footerReference r:id="rId4" w:type="default"/>
          <w:pgSz w:w="12240" w:h="15840"/>
          <w:pgMar w:top="1440" w:right="1800" w:bottom="1440" w:left="1800" w:header="720" w:footer="720" w:gutter="0"/>
          <w:pgNumType w:start="1"/>
          <w:cols w:space="720" w:num="1"/>
        </w:sectPr>
      </w:pPr>
      <w:r>
        <w:rPr>
          <w:rStyle w:val="23"/>
          <w:rFonts w:hint="eastAsia" w:ascii="微软雅黑" w:hAnsi="微软雅黑" w:eastAsia="微软雅黑" w:cs="微软雅黑"/>
          <w:iCs/>
          <w:sz w:val="20"/>
          <w:szCs w:val="20"/>
        </w:rPr>
        <w:fldChar w:fldCharType="end"/>
      </w:r>
    </w:p>
    <w:p w14:paraId="1AB537A3">
      <w:pPr>
        <w:pStyle w:val="3"/>
        <w:spacing w:line="360" w:lineRule="auto"/>
        <w:rPr>
          <w:rFonts w:ascii="微软雅黑" w:hAnsi="微软雅黑" w:eastAsia="微软雅黑" w:cs="微软雅黑"/>
        </w:rPr>
      </w:pPr>
      <w:bookmarkStart w:id="22" w:name="_Toc479779402"/>
      <w:bookmarkEnd w:id="22"/>
      <w:bookmarkStart w:id="23" w:name="_Toc479779397"/>
      <w:bookmarkEnd w:id="23"/>
      <w:bookmarkStart w:id="24" w:name="_Toc11707"/>
      <w:bookmarkStart w:id="25" w:name="_Toc1992658"/>
      <w:bookmarkStart w:id="26" w:name="_Toc14828"/>
      <w:bookmarkStart w:id="42" w:name="_GoBack"/>
      <w:bookmarkEnd w:id="42"/>
      <w:r>
        <w:rPr>
          <w:rFonts w:hint="eastAsia" w:ascii="微软雅黑" w:hAnsi="微软雅黑" w:eastAsia="微软雅黑" w:cs="微软雅黑"/>
        </w:rPr>
        <w:t>1.</w:t>
      </w:r>
      <w:bookmarkEnd w:id="24"/>
      <w:bookmarkEnd w:id="25"/>
      <w:r>
        <w:rPr>
          <w:rFonts w:hint="eastAsia" w:ascii="微软雅黑" w:hAnsi="微软雅黑" w:eastAsia="微软雅黑" w:cs="微软雅黑"/>
        </w:rPr>
        <w:t>社保办理</w:t>
      </w:r>
      <w:bookmarkEnd w:id="26"/>
    </w:p>
    <w:p w14:paraId="11268FF5">
      <w:pPr>
        <w:pStyle w:val="4"/>
        <w:spacing w:line="360" w:lineRule="auto"/>
        <w:rPr>
          <w:rFonts w:ascii="微软雅黑" w:hAnsi="微软雅黑" w:eastAsia="微软雅黑" w:cs="微软雅黑"/>
        </w:rPr>
      </w:pPr>
      <w:bookmarkStart w:id="27" w:name="_Toc14549"/>
      <w:bookmarkStart w:id="28" w:name="_Toc2002752"/>
      <w:bookmarkStart w:id="29" w:name="_Toc5595"/>
      <w:r>
        <w:rPr>
          <w:rFonts w:hint="eastAsia" w:ascii="微软雅黑" w:hAnsi="微软雅黑" w:eastAsia="微软雅黑" w:cs="微软雅黑"/>
        </w:rPr>
        <w:t>1.1城乡居民养老保险办理</w:t>
      </w:r>
      <w:bookmarkEnd w:id="27"/>
      <w:bookmarkEnd w:id="28"/>
      <w:bookmarkEnd w:id="29"/>
    </w:p>
    <w:p w14:paraId="03D63739">
      <w:pPr>
        <w:spacing w:line="360" w:lineRule="auto"/>
        <w:ind w:firstLine="420" w:firstLineChars="200"/>
        <w:rPr>
          <w:rFonts w:ascii="微软雅黑" w:hAnsi="微软雅黑" w:eastAsia="微软雅黑" w:cs="微软雅黑"/>
          <w:sz w:val="21"/>
          <w:szCs w:val="21"/>
        </w:rPr>
      </w:pPr>
      <w:r>
        <w:rPr>
          <w:rFonts w:hint="eastAsia" w:ascii="微软雅黑" w:hAnsi="微软雅黑" w:eastAsia="微软雅黑" w:cs="微软雅黑"/>
          <w:sz w:val="21"/>
          <w:szCs w:val="21"/>
        </w:rPr>
        <w:t>本功能主要是提供给用户进行社保缴费，支持城乡居民养老保险的社保费申报。</w:t>
      </w:r>
    </w:p>
    <w:p w14:paraId="0E0FF9F6">
      <w:pPr>
        <w:spacing w:line="360" w:lineRule="auto"/>
        <w:rPr>
          <w:rFonts w:ascii="微软雅黑" w:hAnsi="微软雅黑" w:eastAsia="微软雅黑" w:cs="微软雅黑"/>
          <w:sz w:val="21"/>
          <w:szCs w:val="21"/>
        </w:rPr>
      </w:pPr>
      <w:r>
        <w:rPr>
          <w:rFonts w:hint="eastAsia" w:ascii="微软雅黑" w:hAnsi="微软雅黑" w:eastAsia="微软雅黑" w:cs="微软雅黑"/>
          <w:sz w:val="21"/>
          <w:szCs w:val="21"/>
        </w:rPr>
        <w:t>【操作步骤】</w:t>
      </w:r>
    </w:p>
    <w:p w14:paraId="13F545C6">
      <w:pPr>
        <w:spacing w:line="360" w:lineRule="auto"/>
        <w:rPr>
          <w:rFonts w:ascii="微软雅黑" w:hAnsi="微软雅黑" w:eastAsia="微软雅黑" w:cs="微软雅黑"/>
          <w:sz w:val="21"/>
          <w:szCs w:val="21"/>
        </w:rPr>
      </w:pPr>
      <w:r>
        <w:rPr>
          <w:rFonts w:hint="eastAsia" w:ascii="微软雅黑" w:hAnsi="微软雅黑" w:eastAsia="微软雅黑" w:cs="微软雅黑"/>
          <w:sz w:val="21"/>
          <w:szCs w:val="21"/>
        </w:rPr>
        <w:t>登录进入国家税务总局北京市电子税务局功能首页。点击【城乡居民养老保险办理】，进入模块。</w:t>
      </w:r>
    </w:p>
    <w:p w14:paraId="230BEF6D">
      <w:pPr>
        <w:spacing w:line="360" w:lineRule="auto"/>
        <w:rPr>
          <w:rFonts w:ascii="微软雅黑" w:hAnsi="微软雅黑" w:eastAsia="微软雅黑" w:cs="微软雅黑"/>
          <w:sz w:val="21"/>
          <w:szCs w:val="21"/>
        </w:rPr>
      </w:pPr>
      <w:r>
        <w:drawing>
          <wp:inline distT="0" distB="0" distL="0" distR="0">
            <wp:extent cx="5274310" cy="2590165"/>
            <wp:effectExtent l="0" t="0" r="254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tretch>
                      <a:fillRect/>
                    </a:stretch>
                  </pic:blipFill>
                  <pic:spPr>
                    <a:xfrm>
                      <a:off x="0" y="0"/>
                      <a:ext cx="5274310" cy="2590165"/>
                    </a:xfrm>
                    <a:prstGeom prst="rect">
                      <a:avLst/>
                    </a:prstGeom>
                  </pic:spPr>
                </pic:pic>
              </a:graphicData>
            </a:graphic>
          </wp:inline>
        </w:drawing>
      </w:r>
    </w:p>
    <w:p w14:paraId="186CA7F2">
      <w:pPr>
        <w:pStyle w:val="31"/>
        <w:numPr>
          <w:ilvl w:val="0"/>
          <w:numId w:val="2"/>
        </w:numPr>
        <w:spacing w:line="36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系统会带出当前用户信息，确认身份信息是否正确</w:t>
      </w:r>
    </w:p>
    <w:p w14:paraId="50A83134">
      <w:pPr>
        <w:pStyle w:val="31"/>
        <w:numPr>
          <w:ilvl w:val="0"/>
          <w:numId w:val="2"/>
        </w:numPr>
        <w:spacing w:line="36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点击“下一步”按钮，页面跳转到步骤二，页面跳转到参保信息选择页面；</w:t>
      </w:r>
    </w:p>
    <w:p w14:paraId="64C3012D">
      <w:pPr>
        <w:pStyle w:val="31"/>
        <w:spacing w:line="360" w:lineRule="auto"/>
        <w:ind w:firstLine="0" w:firstLineChars="0"/>
        <w:rPr>
          <w:rFonts w:ascii="微软雅黑" w:hAnsi="微软雅黑" w:eastAsia="微软雅黑" w:cs="微软雅黑"/>
          <w:sz w:val="21"/>
          <w:szCs w:val="21"/>
        </w:rPr>
      </w:pPr>
      <w:r>
        <w:drawing>
          <wp:inline distT="0" distB="0" distL="0" distR="0">
            <wp:extent cx="5274310" cy="251777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stretch>
                      <a:fillRect/>
                    </a:stretch>
                  </pic:blipFill>
                  <pic:spPr>
                    <a:xfrm>
                      <a:off x="0" y="0"/>
                      <a:ext cx="5274310" cy="2517775"/>
                    </a:xfrm>
                    <a:prstGeom prst="rect">
                      <a:avLst/>
                    </a:prstGeom>
                  </pic:spPr>
                </pic:pic>
              </a:graphicData>
            </a:graphic>
          </wp:inline>
        </w:drawing>
      </w:r>
    </w:p>
    <w:p w14:paraId="4CE4414A">
      <w:pPr>
        <w:pStyle w:val="31"/>
        <w:numPr>
          <w:ilvl w:val="0"/>
          <w:numId w:val="3"/>
        </w:numPr>
        <w:spacing w:line="36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勾选需要缴费的险种数据，点击下一步跳转到缴费信息提交页面</w:t>
      </w:r>
    </w:p>
    <w:p w14:paraId="321BB6EB">
      <w:pPr>
        <w:pStyle w:val="31"/>
        <w:numPr>
          <w:ilvl w:val="0"/>
          <w:numId w:val="3"/>
        </w:numPr>
        <w:spacing w:line="36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如果是年度正常缴费，请在正常缴费页面进行提交；如果是人社核定的特殊缴费数据，请在特殊缴费页面进行提交。</w:t>
      </w:r>
    </w:p>
    <w:p w14:paraId="7D6FC93A">
      <w:pPr>
        <w:pStyle w:val="31"/>
        <w:numPr>
          <w:ilvl w:val="0"/>
          <w:numId w:val="3"/>
        </w:numPr>
        <w:spacing w:line="36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正常缴费页面的应缴费额会带出您设置的历史应缴费额，如需设置或更改应缴费额，请至</w:t>
      </w:r>
      <w:r>
        <w:fldChar w:fldCharType="begin"/>
      </w:r>
      <w:r>
        <w:instrText xml:space="preserve"> HYPERLINK "http://10.199.137.125/wssbfsb-app-ww-web/web/jfjesz/xzjcxx" </w:instrText>
      </w:r>
      <w:r>
        <w:fldChar w:fldCharType="separate"/>
      </w:r>
      <w:r>
        <w:rPr>
          <w:rFonts w:hint="eastAsia" w:ascii="微软雅黑" w:hAnsi="微软雅黑" w:eastAsia="微软雅黑" w:cs="微软雅黑"/>
          <w:sz w:val="21"/>
          <w:szCs w:val="21"/>
        </w:rPr>
        <w:t>缴费金额选择</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功能进行操作。</w:t>
      </w:r>
    </w:p>
    <w:p w14:paraId="3FA07381">
      <w:pPr>
        <w:pStyle w:val="31"/>
        <w:spacing w:line="360" w:lineRule="auto"/>
        <w:ind w:firstLine="0" w:firstLineChars="0"/>
      </w:pPr>
      <w:r>
        <w:drawing>
          <wp:inline distT="0" distB="0" distL="0" distR="0">
            <wp:extent cx="5274310" cy="2590165"/>
            <wp:effectExtent l="0" t="0" r="254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5274310" cy="2590165"/>
                    </a:xfrm>
                    <a:prstGeom prst="rect">
                      <a:avLst/>
                    </a:prstGeom>
                  </pic:spPr>
                </pic:pic>
              </a:graphicData>
            </a:graphic>
          </wp:inline>
        </w:drawing>
      </w:r>
    </w:p>
    <w:p w14:paraId="785FE2B0">
      <w:pPr>
        <w:pStyle w:val="31"/>
        <w:numPr>
          <w:ilvl w:val="0"/>
          <w:numId w:val="3"/>
        </w:numPr>
        <w:spacing w:line="36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勾选所需的缴费数据，点击【提交】跳转到【选择支付方式】页面。</w:t>
      </w:r>
    </w:p>
    <w:p w14:paraId="1300F8C7">
      <w:pPr>
        <w:pStyle w:val="31"/>
        <w:spacing w:line="360" w:lineRule="auto"/>
        <w:ind w:firstLine="0" w:firstLineChars="0"/>
      </w:pPr>
    </w:p>
    <w:p w14:paraId="65E09100">
      <w:pPr>
        <w:pStyle w:val="31"/>
        <w:spacing w:line="360" w:lineRule="auto"/>
        <w:ind w:firstLine="0" w:firstLineChars="0"/>
      </w:pPr>
      <w:r>
        <w:drawing>
          <wp:inline distT="0" distB="0" distL="0" distR="0">
            <wp:extent cx="5274310" cy="257556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274310" cy="2575560"/>
                    </a:xfrm>
                    <a:prstGeom prst="rect">
                      <a:avLst/>
                    </a:prstGeom>
                  </pic:spPr>
                </pic:pic>
              </a:graphicData>
            </a:graphic>
          </wp:inline>
        </w:drawing>
      </w:r>
    </w:p>
    <w:p w14:paraId="793429E8">
      <w:pPr>
        <w:pStyle w:val="31"/>
        <w:numPr>
          <w:ilvl w:val="0"/>
          <w:numId w:val="3"/>
        </w:numPr>
        <w:spacing w:line="36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选择协议支付，点击【确定】，系统带出可缴费的协议；</w:t>
      </w:r>
    </w:p>
    <w:p w14:paraId="105B3946">
      <w:pPr>
        <w:spacing w:line="360" w:lineRule="auto"/>
        <w:rPr>
          <w:rFonts w:ascii="微软雅黑" w:hAnsi="微软雅黑" w:eastAsia="微软雅黑" w:cs="微软雅黑"/>
          <w:sz w:val="21"/>
          <w:szCs w:val="21"/>
        </w:rPr>
      </w:pPr>
      <w:r>
        <w:drawing>
          <wp:inline distT="0" distB="0" distL="0" distR="0">
            <wp:extent cx="5274310" cy="265239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a:stretch>
                      <a:fillRect/>
                    </a:stretch>
                  </pic:blipFill>
                  <pic:spPr>
                    <a:xfrm>
                      <a:off x="0" y="0"/>
                      <a:ext cx="5274310" cy="2652395"/>
                    </a:xfrm>
                    <a:prstGeom prst="rect">
                      <a:avLst/>
                    </a:prstGeom>
                  </pic:spPr>
                </pic:pic>
              </a:graphicData>
            </a:graphic>
          </wp:inline>
        </w:drawing>
      </w:r>
    </w:p>
    <w:p w14:paraId="36E9CE02">
      <w:pPr>
        <w:pStyle w:val="31"/>
        <w:numPr>
          <w:ilvl w:val="0"/>
          <w:numId w:val="4"/>
        </w:numPr>
        <w:spacing w:line="36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如有多条可缴费的协议账户，可选择协议；</w:t>
      </w:r>
    </w:p>
    <w:p w14:paraId="0AF78A4F">
      <w:pPr>
        <w:pStyle w:val="31"/>
        <w:numPr>
          <w:ilvl w:val="0"/>
          <w:numId w:val="5"/>
        </w:numPr>
        <w:spacing w:line="36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点击“确定缴费”，进行缴费处理，跳转到缴费完成页面。</w:t>
      </w:r>
    </w:p>
    <w:p w14:paraId="447EC420">
      <w:pPr>
        <w:spacing w:line="360" w:lineRule="auto"/>
        <w:rPr>
          <w:rFonts w:ascii="微软雅黑" w:hAnsi="微软雅黑" w:eastAsia="微软雅黑" w:cs="微软雅黑"/>
          <w:sz w:val="21"/>
          <w:szCs w:val="21"/>
        </w:rPr>
      </w:pPr>
      <w:r>
        <w:drawing>
          <wp:inline distT="0" distB="0" distL="114300" distR="114300">
            <wp:extent cx="5267325" cy="2599055"/>
            <wp:effectExtent l="0" t="0" r="9525" b="10795"/>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13"/>
                    <a:stretch>
                      <a:fillRect/>
                    </a:stretch>
                  </pic:blipFill>
                  <pic:spPr>
                    <a:xfrm>
                      <a:off x="0" y="0"/>
                      <a:ext cx="5267325" cy="2599055"/>
                    </a:xfrm>
                    <a:prstGeom prst="rect">
                      <a:avLst/>
                    </a:prstGeom>
                    <a:noFill/>
                    <a:ln>
                      <a:noFill/>
                    </a:ln>
                  </pic:spPr>
                </pic:pic>
              </a:graphicData>
            </a:graphic>
          </wp:inline>
        </w:drawing>
      </w:r>
    </w:p>
    <w:p w14:paraId="1C3AEF84">
      <w:pPr>
        <w:pStyle w:val="4"/>
        <w:spacing w:line="360" w:lineRule="auto"/>
        <w:rPr>
          <w:rFonts w:ascii="微软雅黑" w:hAnsi="微软雅黑" w:eastAsia="微软雅黑" w:cs="微软雅黑"/>
        </w:rPr>
      </w:pPr>
      <w:bookmarkStart w:id="30" w:name="_Toc7977"/>
      <w:r>
        <w:rPr>
          <w:rFonts w:hint="eastAsia" w:ascii="微软雅黑" w:hAnsi="微软雅黑" w:eastAsia="微软雅黑" w:cs="微软雅黑"/>
        </w:rPr>
        <w:t>1</w:t>
      </w:r>
      <w:r>
        <w:rPr>
          <w:rFonts w:ascii="微软雅黑" w:hAnsi="微软雅黑" w:eastAsia="微软雅黑" w:cs="微软雅黑"/>
        </w:rPr>
        <w:t>.2</w:t>
      </w:r>
      <w:r>
        <w:rPr>
          <w:rFonts w:hint="eastAsia" w:ascii="微软雅黑" w:hAnsi="微软雅黑" w:eastAsia="微软雅黑" w:cs="微软雅黑"/>
        </w:rPr>
        <w:t>城乡居民基本医疗保险费办理</w:t>
      </w:r>
      <w:bookmarkEnd w:id="30"/>
    </w:p>
    <w:p w14:paraId="2C977614">
      <w:pPr>
        <w:spacing w:line="360" w:lineRule="auto"/>
        <w:ind w:firstLine="420" w:firstLineChars="200"/>
        <w:rPr>
          <w:rFonts w:ascii="微软雅黑" w:hAnsi="微软雅黑" w:eastAsia="微软雅黑" w:cs="微软雅黑"/>
          <w:sz w:val="21"/>
          <w:szCs w:val="21"/>
        </w:rPr>
      </w:pPr>
      <w:r>
        <w:rPr>
          <w:rFonts w:hint="eastAsia" w:ascii="微软雅黑" w:hAnsi="微软雅黑" w:eastAsia="微软雅黑" w:cs="微软雅黑"/>
          <w:sz w:val="21"/>
          <w:szCs w:val="21"/>
        </w:rPr>
        <w:t>本功能主要是提供给用户进行社保缴费，支持城乡居民基本医疗保险的社保费申报。</w:t>
      </w:r>
    </w:p>
    <w:p w14:paraId="2021390C">
      <w:pPr>
        <w:spacing w:line="360" w:lineRule="auto"/>
        <w:rPr>
          <w:rFonts w:ascii="微软雅黑" w:hAnsi="微软雅黑" w:eastAsia="微软雅黑" w:cs="微软雅黑"/>
          <w:sz w:val="21"/>
          <w:szCs w:val="21"/>
        </w:rPr>
      </w:pPr>
      <w:r>
        <w:rPr>
          <w:rFonts w:hint="eastAsia" w:ascii="微软雅黑" w:hAnsi="微软雅黑" w:eastAsia="微软雅黑" w:cs="微软雅黑"/>
          <w:sz w:val="21"/>
          <w:szCs w:val="21"/>
        </w:rPr>
        <w:t>【操作步骤】</w:t>
      </w:r>
    </w:p>
    <w:p w14:paraId="72EE5535">
      <w:pPr>
        <w:spacing w:line="360" w:lineRule="auto"/>
        <w:rPr>
          <w:rFonts w:ascii="微软雅黑" w:hAnsi="微软雅黑" w:eastAsia="微软雅黑" w:cs="微软雅黑"/>
          <w:sz w:val="21"/>
          <w:szCs w:val="21"/>
        </w:rPr>
      </w:pPr>
      <w:r>
        <w:rPr>
          <w:rFonts w:hint="eastAsia" w:ascii="微软雅黑" w:hAnsi="微软雅黑" w:eastAsia="微软雅黑" w:cs="微软雅黑"/>
          <w:sz w:val="21"/>
          <w:szCs w:val="21"/>
        </w:rPr>
        <w:t>登录进入国家税务总局北京市电子税务局功能首页。点击【城乡居民基本医疗保险费办理】，进入模块。</w:t>
      </w:r>
    </w:p>
    <w:p w14:paraId="6FE71722">
      <w:pPr>
        <w:spacing w:line="360" w:lineRule="auto"/>
        <w:rPr>
          <w:rFonts w:ascii="微软雅黑" w:hAnsi="微软雅黑" w:eastAsia="微软雅黑" w:cs="微软雅黑"/>
          <w:sz w:val="21"/>
          <w:szCs w:val="21"/>
        </w:rPr>
      </w:pPr>
      <w:r>
        <w:drawing>
          <wp:inline distT="0" distB="0" distL="0" distR="0">
            <wp:extent cx="5274310" cy="3395980"/>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3395980"/>
                    </a:xfrm>
                    <a:prstGeom prst="rect">
                      <a:avLst/>
                    </a:prstGeom>
                    <a:noFill/>
                    <a:ln>
                      <a:noFill/>
                    </a:ln>
                  </pic:spPr>
                </pic:pic>
              </a:graphicData>
            </a:graphic>
          </wp:inline>
        </w:drawing>
      </w:r>
    </w:p>
    <w:p w14:paraId="578C5086">
      <w:pPr>
        <w:pStyle w:val="31"/>
        <w:numPr>
          <w:ilvl w:val="0"/>
          <w:numId w:val="2"/>
        </w:numPr>
        <w:spacing w:line="36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系统会带出当前用户信息，确认身份信息是否正确</w:t>
      </w:r>
    </w:p>
    <w:p w14:paraId="19C2C25C">
      <w:pPr>
        <w:widowControl w:val="0"/>
        <w:numPr>
          <w:ilvl w:val="0"/>
          <w:numId w:val="2"/>
        </w:numPr>
        <w:spacing w:line="360" w:lineRule="auto"/>
        <w:jc w:val="both"/>
        <w:rPr>
          <w:rFonts w:ascii="微软雅黑" w:hAnsi="微软雅黑" w:eastAsia="微软雅黑" w:cs="微软雅黑"/>
        </w:rPr>
      </w:pPr>
      <w:r>
        <w:rPr>
          <w:rFonts w:hint="eastAsia" w:ascii="微软雅黑" w:hAnsi="微软雅黑" w:eastAsia="微软雅黑" w:cs="微软雅黑"/>
        </w:rPr>
        <w:t>选择他人时，</w:t>
      </w:r>
    </w:p>
    <w:p w14:paraId="19F78EF9">
      <w:pPr>
        <w:spacing w:line="360" w:lineRule="auto"/>
        <w:rPr>
          <w:rFonts w:ascii="微软雅黑" w:hAnsi="微软雅黑" w:eastAsia="微软雅黑" w:cs="微软雅黑"/>
        </w:rPr>
      </w:pPr>
      <w:r>
        <w:drawing>
          <wp:inline distT="0" distB="0" distL="0" distR="0">
            <wp:extent cx="5274310" cy="3350895"/>
            <wp:effectExtent l="0" t="0" r="2540" b="190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3350895"/>
                    </a:xfrm>
                    <a:prstGeom prst="rect">
                      <a:avLst/>
                    </a:prstGeom>
                    <a:noFill/>
                    <a:ln>
                      <a:noFill/>
                    </a:ln>
                  </pic:spPr>
                </pic:pic>
              </a:graphicData>
            </a:graphic>
          </wp:inline>
        </w:drawing>
      </w:r>
    </w:p>
    <w:p w14:paraId="137C6A0F">
      <w:pPr>
        <w:pStyle w:val="31"/>
        <w:widowControl w:val="0"/>
        <w:numPr>
          <w:ilvl w:val="0"/>
          <w:numId w:val="2"/>
        </w:numPr>
        <w:spacing w:line="360" w:lineRule="auto"/>
        <w:ind w:firstLineChars="0"/>
        <w:jc w:val="both"/>
        <w:rPr>
          <w:rFonts w:ascii="微软雅黑" w:hAnsi="微软雅黑" w:eastAsia="微软雅黑" w:cs="微软雅黑"/>
        </w:rPr>
      </w:pPr>
      <w:r>
        <w:rPr>
          <w:rFonts w:hint="eastAsia" w:ascii="微软雅黑" w:hAnsi="微软雅黑" w:eastAsia="微软雅黑" w:cs="微软雅黑"/>
        </w:rPr>
        <w:t>用户填写委托人姓名、身份证件类型、身份证件号码和国籍（地区）；</w:t>
      </w:r>
    </w:p>
    <w:p w14:paraId="378F5D7B">
      <w:pPr>
        <w:pStyle w:val="31"/>
        <w:numPr>
          <w:ilvl w:val="0"/>
          <w:numId w:val="2"/>
        </w:numPr>
        <w:spacing w:line="36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点击“下一步”按钮，页面跳转到步骤二，页面跳转到参保信息选择页面；</w:t>
      </w:r>
    </w:p>
    <w:p w14:paraId="1E54BF2C">
      <w:pPr>
        <w:pStyle w:val="31"/>
        <w:spacing w:line="360" w:lineRule="auto"/>
        <w:ind w:firstLine="0" w:firstLineChars="0"/>
        <w:rPr>
          <w:rFonts w:ascii="微软雅黑" w:hAnsi="微软雅黑" w:eastAsia="微软雅黑" w:cs="微软雅黑"/>
          <w:sz w:val="21"/>
          <w:szCs w:val="21"/>
        </w:rPr>
      </w:pPr>
      <w:r>
        <w:drawing>
          <wp:inline distT="0" distB="0" distL="0" distR="0">
            <wp:extent cx="5274310" cy="2564130"/>
            <wp:effectExtent l="0" t="0" r="254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5274310" cy="2564130"/>
                    </a:xfrm>
                    <a:prstGeom prst="rect">
                      <a:avLst/>
                    </a:prstGeom>
                  </pic:spPr>
                </pic:pic>
              </a:graphicData>
            </a:graphic>
          </wp:inline>
        </w:drawing>
      </w:r>
    </w:p>
    <w:p w14:paraId="1C9F62B7">
      <w:pPr>
        <w:pStyle w:val="31"/>
        <w:numPr>
          <w:ilvl w:val="0"/>
          <w:numId w:val="3"/>
        </w:numPr>
        <w:spacing w:line="36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勾选所需缴费的险种数据，点击下一步跳转到缴费信息提交页面</w:t>
      </w:r>
    </w:p>
    <w:p w14:paraId="742ED303">
      <w:pPr>
        <w:pStyle w:val="31"/>
        <w:spacing w:line="360" w:lineRule="auto"/>
        <w:ind w:firstLine="0" w:firstLineChars="0"/>
      </w:pPr>
      <w:r>
        <w:drawing>
          <wp:inline distT="0" distB="0" distL="0" distR="0">
            <wp:extent cx="5274310" cy="261175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5274310" cy="2611755"/>
                    </a:xfrm>
                    <a:prstGeom prst="rect">
                      <a:avLst/>
                    </a:prstGeom>
                  </pic:spPr>
                </pic:pic>
              </a:graphicData>
            </a:graphic>
          </wp:inline>
        </w:drawing>
      </w:r>
    </w:p>
    <w:p w14:paraId="44D3B059">
      <w:pPr>
        <w:pStyle w:val="31"/>
        <w:numPr>
          <w:ilvl w:val="0"/>
          <w:numId w:val="3"/>
        </w:numPr>
        <w:spacing w:line="36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勾选所需的缴费数据，点击【提交】跳转到【选择支付方式】页面。</w:t>
      </w:r>
    </w:p>
    <w:p w14:paraId="29825A69">
      <w:pPr>
        <w:pStyle w:val="31"/>
        <w:spacing w:line="360" w:lineRule="auto"/>
        <w:ind w:firstLine="0" w:firstLineChars="0"/>
      </w:pPr>
      <w:r>
        <w:drawing>
          <wp:inline distT="0" distB="0" distL="0" distR="0">
            <wp:extent cx="5274310" cy="257937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5274310" cy="2579370"/>
                    </a:xfrm>
                    <a:prstGeom prst="rect">
                      <a:avLst/>
                    </a:prstGeom>
                  </pic:spPr>
                </pic:pic>
              </a:graphicData>
            </a:graphic>
          </wp:inline>
        </w:drawing>
      </w:r>
    </w:p>
    <w:p w14:paraId="2C67DE99">
      <w:pPr>
        <w:pStyle w:val="31"/>
        <w:numPr>
          <w:ilvl w:val="0"/>
          <w:numId w:val="3"/>
        </w:numPr>
        <w:spacing w:line="36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选择协议支付，点击【确定】，系统带出可缴费的协议；</w:t>
      </w:r>
    </w:p>
    <w:p w14:paraId="2A660BA8">
      <w:pPr>
        <w:spacing w:line="360" w:lineRule="auto"/>
        <w:rPr>
          <w:rFonts w:ascii="微软雅黑" w:hAnsi="微软雅黑" w:eastAsia="微软雅黑" w:cs="微软雅黑"/>
          <w:sz w:val="21"/>
          <w:szCs w:val="21"/>
        </w:rPr>
      </w:pPr>
      <w:r>
        <w:drawing>
          <wp:inline distT="0" distB="0" distL="0" distR="0">
            <wp:extent cx="5274310" cy="265239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a:stretch>
                      <a:fillRect/>
                    </a:stretch>
                  </pic:blipFill>
                  <pic:spPr>
                    <a:xfrm>
                      <a:off x="0" y="0"/>
                      <a:ext cx="5274310" cy="2652395"/>
                    </a:xfrm>
                    <a:prstGeom prst="rect">
                      <a:avLst/>
                    </a:prstGeom>
                  </pic:spPr>
                </pic:pic>
              </a:graphicData>
            </a:graphic>
          </wp:inline>
        </w:drawing>
      </w:r>
    </w:p>
    <w:p w14:paraId="723C9807">
      <w:pPr>
        <w:pStyle w:val="31"/>
        <w:numPr>
          <w:ilvl w:val="0"/>
          <w:numId w:val="4"/>
        </w:numPr>
        <w:spacing w:line="36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如有多条可缴费的协议账户，可选择协议；</w:t>
      </w:r>
    </w:p>
    <w:p w14:paraId="40FB5B00">
      <w:pPr>
        <w:pStyle w:val="31"/>
        <w:numPr>
          <w:ilvl w:val="0"/>
          <w:numId w:val="5"/>
        </w:numPr>
        <w:spacing w:line="36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点击“确定缴费”，进行缴费处理，跳转到缴费完成页面。</w:t>
      </w:r>
    </w:p>
    <w:p w14:paraId="6D71A110">
      <w:pPr>
        <w:spacing w:line="360" w:lineRule="auto"/>
      </w:pPr>
      <w:r>
        <w:drawing>
          <wp:inline distT="0" distB="0" distL="114300" distR="114300">
            <wp:extent cx="5267325" cy="2599055"/>
            <wp:effectExtent l="0" t="0" r="9525" b="10795"/>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pic:cNvPicPr>
                      <a:picLocks noChangeAspect="1"/>
                    </pic:cNvPicPr>
                  </pic:nvPicPr>
                  <pic:blipFill>
                    <a:blip r:embed="rId13"/>
                    <a:stretch>
                      <a:fillRect/>
                    </a:stretch>
                  </pic:blipFill>
                  <pic:spPr>
                    <a:xfrm>
                      <a:off x="0" y="0"/>
                      <a:ext cx="5267325" cy="2599055"/>
                    </a:xfrm>
                    <a:prstGeom prst="rect">
                      <a:avLst/>
                    </a:prstGeom>
                    <a:noFill/>
                    <a:ln>
                      <a:noFill/>
                    </a:ln>
                  </pic:spPr>
                </pic:pic>
              </a:graphicData>
            </a:graphic>
          </wp:inline>
        </w:drawing>
      </w:r>
    </w:p>
    <w:p w14:paraId="1504DCFC">
      <w:pPr>
        <w:pStyle w:val="4"/>
        <w:spacing w:line="360" w:lineRule="auto"/>
        <w:rPr>
          <w:rFonts w:ascii="微软雅黑" w:hAnsi="微软雅黑" w:eastAsia="微软雅黑" w:cs="微软雅黑"/>
        </w:rPr>
      </w:pPr>
      <w:bookmarkStart w:id="31" w:name="_Toc9176"/>
      <w:r>
        <w:rPr>
          <w:rFonts w:hint="eastAsia" w:ascii="微软雅黑" w:hAnsi="微软雅黑" w:eastAsia="微软雅黑" w:cs="微软雅黑"/>
        </w:rPr>
        <w:t>1.</w:t>
      </w:r>
      <w:r>
        <w:rPr>
          <w:rFonts w:ascii="微软雅黑" w:hAnsi="微软雅黑" w:eastAsia="微软雅黑" w:cs="微软雅黑"/>
        </w:rPr>
        <w:t>3</w:t>
      </w:r>
      <w:r>
        <w:rPr>
          <w:rFonts w:hint="eastAsia" w:ascii="微软雅黑" w:hAnsi="微软雅黑" w:eastAsia="微软雅黑" w:cs="微软雅黑"/>
        </w:rPr>
        <w:t>城乡居民养老保险申报记录查询</w:t>
      </w:r>
      <w:bookmarkEnd w:id="31"/>
    </w:p>
    <w:p w14:paraId="34440770">
      <w:pPr>
        <w:spacing w:line="360" w:lineRule="auto"/>
        <w:ind w:firstLine="420" w:firstLineChars="200"/>
        <w:rPr>
          <w:rFonts w:ascii="微软雅黑" w:hAnsi="微软雅黑" w:eastAsia="微软雅黑" w:cs="微软雅黑"/>
          <w:sz w:val="21"/>
          <w:szCs w:val="21"/>
        </w:rPr>
      </w:pPr>
      <w:r>
        <w:rPr>
          <w:rFonts w:hint="eastAsia" w:ascii="微软雅黑" w:hAnsi="微软雅黑" w:eastAsia="微软雅黑" w:cs="微软雅黑"/>
          <w:sz w:val="21"/>
          <w:szCs w:val="21"/>
        </w:rPr>
        <w:t>缴费人可在</w:t>
      </w:r>
      <w:r>
        <w:rPr>
          <w:rFonts w:hint="eastAsia" w:ascii="微软雅黑" w:hAnsi="微软雅黑" w:eastAsia="微软雅黑" w:cs="微软雅黑"/>
        </w:rPr>
        <w:t>城乡居民养老保险申报记录查询</w:t>
      </w:r>
      <w:r>
        <w:rPr>
          <w:rFonts w:hint="eastAsia" w:ascii="微软雅黑" w:hAnsi="微软雅黑" w:eastAsia="微软雅黑" w:cs="微软雅黑"/>
          <w:sz w:val="21"/>
          <w:szCs w:val="21"/>
        </w:rPr>
        <w:t>功能，查询本人全渠道的</w:t>
      </w:r>
      <w:r>
        <w:rPr>
          <w:rFonts w:hint="eastAsia" w:ascii="微软雅黑" w:hAnsi="微软雅黑" w:eastAsia="微软雅黑" w:cs="微软雅黑"/>
        </w:rPr>
        <w:t>城乡居民养老保险申报</w:t>
      </w:r>
      <w:r>
        <w:rPr>
          <w:rFonts w:hint="eastAsia" w:ascii="微软雅黑" w:hAnsi="微软雅黑" w:eastAsia="微软雅黑" w:cs="微软雅黑"/>
          <w:sz w:val="21"/>
          <w:szCs w:val="21"/>
        </w:rPr>
        <w:t>数据。缴费人在社保缴费办理模块选择协议支付方式的数据未缴费成功时，可在本模块再次发起缴费操作。</w:t>
      </w:r>
    </w:p>
    <w:p w14:paraId="482BDA98">
      <w:pPr>
        <w:spacing w:line="360" w:lineRule="auto"/>
        <w:rPr>
          <w:rFonts w:ascii="微软雅黑" w:hAnsi="微软雅黑" w:eastAsia="微软雅黑" w:cs="微软雅黑"/>
          <w:sz w:val="21"/>
          <w:szCs w:val="21"/>
        </w:rPr>
      </w:pPr>
      <w:r>
        <w:rPr>
          <w:rFonts w:hint="eastAsia" w:ascii="微软雅黑" w:hAnsi="微软雅黑" w:eastAsia="微软雅黑" w:cs="微软雅黑"/>
          <w:sz w:val="21"/>
          <w:szCs w:val="21"/>
        </w:rPr>
        <w:t>点击【城乡居民养老保险申报记录查询】，进入模块详情页面：</w:t>
      </w:r>
    </w:p>
    <w:p w14:paraId="0E0810E5">
      <w:pPr>
        <w:spacing w:line="360" w:lineRule="auto"/>
        <w:rPr>
          <w:rFonts w:ascii="微软雅黑" w:hAnsi="微软雅黑" w:eastAsia="微软雅黑" w:cs="微软雅黑"/>
          <w:sz w:val="21"/>
          <w:szCs w:val="21"/>
        </w:rPr>
      </w:pPr>
      <w:r>
        <w:drawing>
          <wp:inline distT="0" distB="0" distL="0" distR="0">
            <wp:extent cx="5274310" cy="1880870"/>
            <wp:effectExtent l="0" t="0" r="254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5274310" cy="1880870"/>
                    </a:xfrm>
                    <a:prstGeom prst="rect">
                      <a:avLst/>
                    </a:prstGeom>
                  </pic:spPr>
                </pic:pic>
              </a:graphicData>
            </a:graphic>
          </wp:inline>
        </w:drawing>
      </w:r>
    </w:p>
    <w:p w14:paraId="6874D3E4">
      <w:pPr>
        <w:numPr>
          <w:ilvl w:val="0"/>
          <w:numId w:val="6"/>
        </w:numPr>
        <w:spacing w:line="360" w:lineRule="auto"/>
        <w:rPr>
          <w:rFonts w:ascii="微软雅黑" w:hAnsi="微软雅黑" w:eastAsia="微软雅黑" w:cs="微软雅黑"/>
          <w:sz w:val="21"/>
          <w:szCs w:val="21"/>
        </w:rPr>
      </w:pPr>
      <w:r>
        <w:rPr>
          <w:rFonts w:hint="eastAsia" w:ascii="微软雅黑" w:hAnsi="微软雅黑" w:eastAsia="微软雅黑" w:cs="微软雅黑"/>
          <w:sz w:val="21"/>
          <w:szCs w:val="21"/>
        </w:rPr>
        <w:t>输入需查询的待缴信息的申报日期区间，点击【查询】</w:t>
      </w:r>
    </w:p>
    <w:p w14:paraId="1AF5AD54">
      <w:pPr>
        <w:numPr>
          <w:ilvl w:val="0"/>
          <w:numId w:val="6"/>
        </w:numPr>
        <w:spacing w:line="360" w:lineRule="auto"/>
        <w:rPr>
          <w:rFonts w:ascii="微软雅黑" w:hAnsi="微软雅黑" w:eastAsia="微软雅黑" w:cs="微软雅黑"/>
          <w:sz w:val="21"/>
          <w:szCs w:val="21"/>
        </w:rPr>
      </w:pPr>
      <w:r>
        <w:rPr>
          <w:rFonts w:hint="eastAsia" w:ascii="微软雅黑" w:hAnsi="微软雅黑" w:eastAsia="微软雅黑" w:cs="微软雅黑"/>
          <w:sz w:val="21"/>
          <w:szCs w:val="21"/>
        </w:rPr>
        <w:t>系统查询出当前用户全渠道的已申报数据，申报状态包括申报成功、申报处理中、已作废。</w:t>
      </w:r>
    </w:p>
    <w:p w14:paraId="5DC4FEBF">
      <w:pPr>
        <w:numPr>
          <w:ilvl w:val="0"/>
          <w:numId w:val="6"/>
        </w:numPr>
        <w:spacing w:line="360" w:lineRule="auto"/>
        <w:rPr>
          <w:rFonts w:ascii="微软雅黑" w:hAnsi="微软雅黑" w:eastAsia="微软雅黑" w:cs="微软雅黑"/>
          <w:sz w:val="21"/>
          <w:szCs w:val="21"/>
        </w:rPr>
      </w:pPr>
      <w:r>
        <w:rPr>
          <w:rFonts w:hint="eastAsia" w:ascii="微软雅黑" w:hAnsi="微软雅黑" w:eastAsia="微软雅黑" w:cs="微软雅黑"/>
          <w:sz w:val="21"/>
          <w:szCs w:val="21"/>
        </w:rPr>
        <w:t>申报成功的数据若还未缴费，用户可选择作废申报或者继续缴费。</w:t>
      </w:r>
    </w:p>
    <w:p w14:paraId="6A9B7312">
      <w:pPr>
        <w:numPr>
          <w:ilvl w:val="0"/>
          <w:numId w:val="6"/>
        </w:numPr>
        <w:spacing w:line="360" w:lineRule="auto"/>
        <w:rPr>
          <w:rFonts w:ascii="微软雅黑" w:hAnsi="微软雅黑" w:eastAsia="微软雅黑" w:cs="微软雅黑"/>
          <w:sz w:val="21"/>
          <w:szCs w:val="21"/>
        </w:rPr>
      </w:pPr>
      <w:r>
        <w:rPr>
          <w:rFonts w:hint="eastAsia" w:ascii="微软雅黑" w:hAnsi="微软雅黑" w:eastAsia="微软雅黑" w:cs="微软雅黑"/>
          <w:sz w:val="21"/>
          <w:szCs w:val="21"/>
        </w:rPr>
        <w:t>用户点击缴款，选择需要缴费的数据，选择协议支付，点击【确定】，系统带出可缴费的协议；</w:t>
      </w:r>
    </w:p>
    <w:p w14:paraId="0ECC946A">
      <w:pPr>
        <w:spacing w:line="360" w:lineRule="auto"/>
        <w:rPr>
          <w:rFonts w:ascii="微软雅黑" w:hAnsi="微软雅黑" w:eastAsia="微软雅黑" w:cs="微软雅黑"/>
          <w:sz w:val="21"/>
          <w:szCs w:val="21"/>
        </w:rPr>
      </w:pPr>
      <w:r>
        <w:drawing>
          <wp:inline distT="0" distB="0" distL="0" distR="0">
            <wp:extent cx="5274310" cy="2548890"/>
            <wp:effectExtent l="0" t="0" r="254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a:stretch>
                      <a:fillRect/>
                    </a:stretch>
                  </pic:blipFill>
                  <pic:spPr>
                    <a:xfrm>
                      <a:off x="0" y="0"/>
                      <a:ext cx="5274310" cy="2548890"/>
                    </a:xfrm>
                    <a:prstGeom prst="rect">
                      <a:avLst/>
                    </a:prstGeom>
                  </pic:spPr>
                </pic:pic>
              </a:graphicData>
            </a:graphic>
          </wp:inline>
        </w:drawing>
      </w:r>
    </w:p>
    <w:p w14:paraId="06CB6EC4">
      <w:pPr>
        <w:pStyle w:val="31"/>
        <w:numPr>
          <w:ilvl w:val="0"/>
          <w:numId w:val="4"/>
        </w:numPr>
        <w:spacing w:line="36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如有多条可缴费的协议账户，可选择协议；</w:t>
      </w:r>
    </w:p>
    <w:p w14:paraId="79957DBD">
      <w:pPr>
        <w:pStyle w:val="31"/>
        <w:numPr>
          <w:ilvl w:val="0"/>
          <w:numId w:val="5"/>
        </w:numPr>
        <w:spacing w:line="36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点击“确定缴费”，进行缴费处理，跳转到缴费完成页面。</w:t>
      </w:r>
    </w:p>
    <w:p w14:paraId="4C729A41">
      <w:pPr>
        <w:spacing w:line="360" w:lineRule="auto"/>
        <w:rPr>
          <w:rFonts w:ascii="微软雅黑" w:hAnsi="微软雅黑" w:eastAsia="微软雅黑" w:cs="微软雅黑"/>
          <w:sz w:val="21"/>
          <w:szCs w:val="21"/>
        </w:rPr>
      </w:pPr>
      <w:r>
        <w:drawing>
          <wp:inline distT="0" distB="0" distL="114300" distR="114300">
            <wp:extent cx="5265420" cy="2618105"/>
            <wp:effectExtent l="0" t="0" r="11430" b="10795"/>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21"/>
                    <a:stretch>
                      <a:fillRect/>
                    </a:stretch>
                  </pic:blipFill>
                  <pic:spPr>
                    <a:xfrm>
                      <a:off x="0" y="0"/>
                      <a:ext cx="5265420" cy="2618105"/>
                    </a:xfrm>
                    <a:prstGeom prst="rect">
                      <a:avLst/>
                    </a:prstGeom>
                    <a:noFill/>
                    <a:ln>
                      <a:noFill/>
                    </a:ln>
                  </pic:spPr>
                </pic:pic>
              </a:graphicData>
            </a:graphic>
          </wp:inline>
        </w:drawing>
      </w:r>
    </w:p>
    <w:p w14:paraId="449DB3B8">
      <w:pPr>
        <w:pStyle w:val="31"/>
        <w:numPr>
          <w:ilvl w:val="0"/>
          <w:numId w:val="5"/>
        </w:numPr>
        <w:spacing w:line="36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点击“继续缴费”，跳转到协议支付缴费页面。</w:t>
      </w:r>
    </w:p>
    <w:p w14:paraId="72D189FD">
      <w:pPr>
        <w:pStyle w:val="4"/>
        <w:spacing w:line="360" w:lineRule="auto"/>
        <w:rPr>
          <w:rFonts w:ascii="微软雅黑" w:hAnsi="微软雅黑" w:eastAsia="微软雅黑" w:cs="微软雅黑"/>
        </w:rPr>
      </w:pPr>
      <w:bookmarkStart w:id="32" w:name="_Toc3123"/>
      <w:r>
        <w:rPr>
          <w:rFonts w:hint="eastAsia" w:ascii="微软雅黑" w:hAnsi="微软雅黑" w:eastAsia="微软雅黑" w:cs="微软雅黑"/>
        </w:rPr>
        <w:t>1</w:t>
      </w:r>
      <w:r>
        <w:rPr>
          <w:rFonts w:ascii="微软雅黑" w:hAnsi="微软雅黑" w:eastAsia="微软雅黑" w:cs="微软雅黑"/>
        </w:rPr>
        <w:t>.4</w:t>
      </w:r>
      <w:r>
        <w:rPr>
          <w:rFonts w:hint="eastAsia" w:ascii="微软雅黑" w:hAnsi="微软雅黑" w:eastAsia="微软雅黑" w:cs="微软雅黑"/>
        </w:rPr>
        <w:t>城乡居民医疗已申报作废</w:t>
      </w:r>
      <w:bookmarkEnd w:id="32"/>
    </w:p>
    <w:p w14:paraId="1D6CC4B0">
      <w:pPr>
        <w:spacing w:line="360" w:lineRule="auto"/>
        <w:ind w:firstLine="420" w:firstLineChars="200"/>
        <w:rPr>
          <w:rFonts w:ascii="微软雅黑" w:hAnsi="微软雅黑" w:eastAsia="微软雅黑" w:cs="微软雅黑"/>
          <w:sz w:val="21"/>
          <w:szCs w:val="21"/>
        </w:rPr>
      </w:pPr>
      <w:r>
        <w:rPr>
          <w:rFonts w:hint="eastAsia" w:ascii="微软雅黑" w:hAnsi="微软雅黑" w:eastAsia="微软雅黑" w:cs="微软雅黑"/>
          <w:sz w:val="21"/>
          <w:szCs w:val="21"/>
        </w:rPr>
        <w:t>缴费人可在城乡居民医疗已申报作废功能，查询本人全渠道的城乡居民医疗已申报但未缴费的数据，进行申报作废操作，作废成功后，可以在城乡居民基本医疗保险费办理功能再次进行缴款。</w:t>
      </w:r>
    </w:p>
    <w:p w14:paraId="1C6E92EC">
      <w:pPr>
        <w:spacing w:line="360" w:lineRule="auto"/>
        <w:rPr>
          <w:rFonts w:ascii="微软雅黑" w:hAnsi="微软雅黑" w:eastAsia="微软雅黑" w:cs="微软雅黑"/>
          <w:sz w:val="21"/>
          <w:szCs w:val="21"/>
        </w:rPr>
      </w:pPr>
      <w:r>
        <w:rPr>
          <w:rFonts w:hint="eastAsia" w:ascii="微软雅黑" w:hAnsi="微软雅黑" w:eastAsia="微软雅黑" w:cs="微软雅黑"/>
          <w:sz w:val="21"/>
          <w:szCs w:val="21"/>
        </w:rPr>
        <w:t>点击【城乡居民医疗已申报作废】，进入页面：</w:t>
      </w:r>
    </w:p>
    <w:p w14:paraId="64BAAE0D">
      <w:pPr>
        <w:spacing w:line="360" w:lineRule="auto"/>
        <w:rPr>
          <w:rFonts w:ascii="微软雅黑" w:hAnsi="微软雅黑" w:eastAsia="微软雅黑" w:cs="微软雅黑"/>
          <w:sz w:val="21"/>
          <w:szCs w:val="21"/>
        </w:rPr>
      </w:pPr>
      <w:r>
        <w:drawing>
          <wp:inline distT="0" distB="0" distL="0" distR="0">
            <wp:extent cx="5274310" cy="1764030"/>
            <wp:effectExtent l="0" t="0" r="254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2"/>
                    <a:stretch>
                      <a:fillRect/>
                    </a:stretch>
                  </pic:blipFill>
                  <pic:spPr>
                    <a:xfrm>
                      <a:off x="0" y="0"/>
                      <a:ext cx="5274310" cy="1764030"/>
                    </a:xfrm>
                    <a:prstGeom prst="rect">
                      <a:avLst/>
                    </a:prstGeom>
                  </pic:spPr>
                </pic:pic>
              </a:graphicData>
            </a:graphic>
          </wp:inline>
        </w:drawing>
      </w:r>
    </w:p>
    <w:p w14:paraId="44A2D9F7">
      <w:pPr>
        <w:numPr>
          <w:ilvl w:val="0"/>
          <w:numId w:val="6"/>
        </w:numPr>
        <w:spacing w:line="360" w:lineRule="auto"/>
        <w:rPr>
          <w:rFonts w:ascii="微软雅黑" w:hAnsi="微软雅黑" w:eastAsia="微软雅黑" w:cs="微软雅黑"/>
          <w:sz w:val="21"/>
          <w:szCs w:val="21"/>
        </w:rPr>
      </w:pPr>
      <w:r>
        <w:rPr>
          <w:rFonts w:hint="eastAsia" w:ascii="微软雅黑" w:hAnsi="微软雅黑" w:eastAsia="微软雅黑" w:cs="微软雅黑"/>
          <w:sz w:val="21"/>
          <w:szCs w:val="21"/>
        </w:rPr>
        <w:t>输入需查询的待缴信息的申报日期区间，点击【查询】</w:t>
      </w:r>
    </w:p>
    <w:p w14:paraId="0762C6FE">
      <w:pPr>
        <w:numPr>
          <w:ilvl w:val="0"/>
          <w:numId w:val="6"/>
        </w:numPr>
        <w:spacing w:line="360" w:lineRule="auto"/>
        <w:rPr>
          <w:rFonts w:ascii="微软雅黑" w:hAnsi="微软雅黑" w:eastAsia="微软雅黑" w:cs="微软雅黑"/>
          <w:sz w:val="21"/>
          <w:szCs w:val="21"/>
        </w:rPr>
      </w:pPr>
      <w:r>
        <w:rPr>
          <w:rFonts w:hint="eastAsia" w:ascii="微软雅黑" w:hAnsi="微软雅黑" w:eastAsia="微软雅黑" w:cs="微软雅黑"/>
          <w:sz w:val="21"/>
          <w:szCs w:val="21"/>
        </w:rPr>
        <w:t>系统查询出当前用户全渠道的已申报未缴费成功的数据。系统查询出当前用户全渠道的已申报未缴费成功的数据。</w:t>
      </w:r>
    </w:p>
    <w:p w14:paraId="3B399C79">
      <w:pPr>
        <w:numPr>
          <w:ilvl w:val="0"/>
          <w:numId w:val="6"/>
        </w:numPr>
        <w:spacing w:line="360" w:lineRule="auto"/>
        <w:rPr>
          <w:rFonts w:ascii="微软雅黑" w:hAnsi="微软雅黑" w:eastAsia="微软雅黑" w:cs="微软雅黑"/>
          <w:sz w:val="21"/>
          <w:szCs w:val="21"/>
        </w:rPr>
      </w:pPr>
      <w:r>
        <w:rPr>
          <w:rFonts w:hint="eastAsia" w:ascii="微软雅黑" w:hAnsi="微软雅黑" w:eastAsia="微软雅黑" w:cs="微软雅黑"/>
          <w:sz w:val="21"/>
          <w:szCs w:val="21"/>
        </w:rPr>
        <w:t>用户可选择作废申报，对数据进行作废。</w:t>
      </w:r>
    </w:p>
    <w:p w14:paraId="40F3BF1E">
      <w:pPr>
        <w:pStyle w:val="4"/>
        <w:spacing w:line="360" w:lineRule="auto"/>
        <w:rPr>
          <w:rFonts w:ascii="微软雅黑" w:hAnsi="微软雅黑" w:eastAsia="微软雅黑" w:cs="微软雅黑"/>
        </w:rPr>
      </w:pPr>
      <w:bookmarkStart w:id="33" w:name="_Toc10078"/>
      <w:r>
        <w:rPr>
          <w:rFonts w:hint="eastAsia" w:ascii="微软雅黑" w:hAnsi="微软雅黑" w:eastAsia="微软雅黑" w:cs="微软雅黑"/>
        </w:rPr>
        <w:t>1.</w:t>
      </w:r>
      <w:r>
        <w:rPr>
          <w:rFonts w:ascii="微软雅黑" w:hAnsi="微软雅黑" w:eastAsia="微软雅黑" w:cs="微软雅黑"/>
        </w:rPr>
        <w:t>5</w:t>
      </w:r>
      <w:r>
        <w:rPr>
          <w:rFonts w:hint="eastAsia" w:ascii="微软雅黑" w:hAnsi="微软雅黑" w:eastAsia="微软雅黑" w:cs="微软雅黑"/>
        </w:rPr>
        <w:t>城乡居民养老保险已缴费查询</w:t>
      </w:r>
      <w:bookmarkEnd w:id="33"/>
    </w:p>
    <w:p w14:paraId="35E8FB94">
      <w:pPr>
        <w:spacing w:line="360" w:lineRule="auto"/>
        <w:ind w:firstLine="420" w:firstLineChars="200"/>
        <w:rPr>
          <w:rFonts w:ascii="微软雅黑" w:hAnsi="微软雅黑" w:eastAsia="微软雅黑" w:cs="微软雅黑"/>
          <w:sz w:val="21"/>
          <w:szCs w:val="21"/>
        </w:rPr>
      </w:pPr>
      <w:r>
        <w:rPr>
          <w:rFonts w:hint="eastAsia" w:ascii="微软雅黑" w:hAnsi="微软雅黑" w:eastAsia="微软雅黑" w:cs="微软雅黑"/>
          <w:sz w:val="21"/>
          <w:szCs w:val="21"/>
        </w:rPr>
        <w:t>完成缴费后，自然人可通过点击【</w:t>
      </w:r>
      <w:r>
        <w:rPr>
          <w:rFonts w:hint="eastAsia" w:ascii="微软雅黑" w:hAnsi="微软雅黑" w:eastAsia="微软雅黑" w:cs="微软雅黑"/>
        </w:rPr>
        <w:t>城乡居民养老保险已缴费查询</w:t>
      </w:r>
      <w:r>
        <w:rPr>
          <w:rFonts w:hint="eastAsia" w:ascii="微软雅黑" w:hAnsi="微软雅黑" w:eastAsia="微软雅黑" w:cs="微软雅黑"/>
          <w:sz w:val="21"/>
          <w:szCs w:val="21"/>
        </w:rPr>
        <w:t>】完成已缴费款的查询。</w:t>
      </w:r>
    </w:p>
    <w:p w14:paraId="1C831FD9">
      <w:pPr>
        <w:pStyle w:val="31"/>
        <w:numPr>
          <w:ilvl w:val="0"/>
          <w:numId w:val="7"/>
        </w:numPr>
        <w:spacing w:line="36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进入已缴费查询模块</w:t>
      </w:r>
    </w:p>
    <w:p w14:paraId="4D21AEF5">
      <w:pPr>
        <w:spacing w:line="360" w:lineRule="auto"/>
        <w:rPr>
          <w:rFonts w:ascii="微软雅黑" w:hAnsi="微软雅黑" w:eastAsia="微软雅黑" w:cs="微软雅黑"/>
          <w:sz w:val="21"/>
          <w:szCs w:val="21"/>
        </w:rPr>
      </w:pPr>
      <w:r>
        <w:drawing>
          <wp:inline distT="0" distB="0" distL="0" distR="0">
            <wp:extent cx="5274310" cy="2146300"/>
            <wp:effectExtent l="0" t="0" r="254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3"/>
                    <a:stretch>
                      <a:fillRect/>
                    </a:stretch>
                  </pic:blipFill>
                  <pic:spPr>
                    <a:xfrm>
                      <a:off x="0" y="0"/>
                      <a:ext cx="5274310" cy="2146300"/>
                    </a:xfrm>
                    <a:prstGeom prst="rect">
                      <a:avLst/>
                    </a:prstGeom>
                  </pic:spPr>
                </pic:pic>
              </a:graphicData>
            </a:graphic>
          </wp:inline>
        </w:drawing>
      </w:r>
    </w:p>
    <w:p w14:paraId="18AA8CA9">
      <w:pPr>
        <w:numPr>
          <w:ilvl w:val="0"/>
          <w:numId w:val="8"/>
        </w:numPr>
        <w:spacing w:line="360" w:lineRule="auto"/>
        <w:rPr>
          <w:rFonts w:ascii="微软雅黑" w:hAnsi="微软雅黑" w:eastAsia="微软雅黑" w:cs="微软雅黑"/>
          <w:sz w:val="21"/>
          <w:szCs w:val="21"/>
        </w:rPr>
      </w:pPr>
      <w:r>
        <w:rPr>
          <w:rFonts w:hint="eastAsia" w:ascii="微软雅黑" w:hAnsi="微软雅黑" w:eastAsia="微软雅黑" w:cs="微软雅黑"/>
          <w:sz w:val="21"/>
          <w:szCs w:val="21"/>
        </w:rPr>
        <w:t>输入查询费款对应报表的的费款所属期。</w:t>
      </w:r>
    </w:p>
    <w:p w14:paraId="77E42C6B">
      <w:pPr>
        <w:numPr>
          <w:ilvl w:val="0"/>
          <w:numId w:val="8"/>
        </w:numPr>
        <w:spacing w:line="360" w:lineRule="auto"/>
        <w:rPr>
          <w:rFonts w:ascii="微软雅黑" w:hAnsi="微软雅黑" w:eastAsia="微软雅黑" w:cs="微软雅黑"/>
          <w:sz w:val="21"/>
          <w:szCs w:val="21"/>
        </w:rPr>
      </w:pPr>
      <w:r>
        <w:rPr>
          <w:rFonts w:hint="eastAsia" w:ascii="微软雅黑" w:hAnsi="微软雅黑" w:eastAsia="微软雅黑" w:cs="微软雅黑"/>
          <w:sz w:val="21"/>
          <w:szCs w:val="21"/>
        </w:rPr>
        <w:t>点击“查询”，显示查询时间段内的已缴费款对应的明细信息。</w:t>
      </w:r>
    </w:p>
    <w:p w14:paraId="69F23AB5">
      <w:pPr>
        <w:pStyle w:val="4"/>
        <w:spacing w:line="360" w:lineRule="auto"/>
        <w:rPr>
          <w:rFonts w:ascii="微软雅黑" w:hAnsi="微软雅黑" w:eastAsia="微软雅黑" w:cs="微软雅黑"/>
        </w:rPr>
      </w:pPr>
      <w:bookmarkStart w:id="34" w:name="_Toc29405"/>
      <w:r>
        <w:rPr>
          <w:rFonts w:hint="eastAsia" w:ascii="微软雅黑" w:hAnsi="微软雅黑" w:eastAsia="微软雅黑" w:cs="微软雅黑"/>
        </w:rPr>
        <w:t>1</w:t>
      </w:r>
      <w:r>
        <w:rPr>
          <w:rFonts w:ascii="微软雅黑" w:hAnsi="微软雅黑" w:eastAsia="微软雅黑" w:cs="微软雅黑"/>
        </w:rPr>
        <w:t>.6</w:t>
      </w:r>
      <w:r>
        <w:rPr>
          <w:rFonts w:hint="eastAsia" w:ascii="微软雅黑" w:hAnsi="微软雅黑" w:eastAsia="微软雅黑" w:cs="微软雅黑"/>
        </w:rPr>
        <w:t>城乡居民医疗已缴费查询</w:t>
      </w:r>
      <w:bookmarkEnd w:id="34"/>
    </w:p>
    <w:p w14:paraId="28651058">
      <w:pPr>
        <w:spacing w:line="360" w:lineRule="auto"/>
        <w:ind w:firstLine="420" w:firstLineChars="200"/>
        <w:rPr>
          <w:rFonts w:ascii="微软雅黑" w:hAnsi="微软雅黑" w:eastAsia="微软雅黑" w:cs="微软雅黑"/>
          <w:sz w:val="21"/>
          <w:szCs w:val="21"/>
        </w:rPr>
      </w:pPr>
      <w:r>
        <w:rPr>
          <w:rFonts w:hint="eastAsia" w:ascii="微软雅黑" w:hAnsi="微软雅黑" w:eastAsia="微软雅黑" w:cs="微软雅黑"/>
          <w:sz w:val="21"/>
          <w:szCs w:val="21"/>
        </w:rPr>
        <w:t>完成缴费后，自然人可通过点击【</w:t>
      </w:r>
      <w:r>
        <w:rPr>
          <w:rFonts w:hint="eastAsia" w:ascii="微软雅黑" w:hAnsi="微软雅黑" w:eastAsia="微软雅黑" w:cs="微软雅黑"/>
        </w:rPr>
        <w:t>城乡居民医疗已缴费查询</w:t>
      </w:r>
      <w:r>
        <w:rPr>
          <w:rFonts w:hint="eastAsia" w:ascii="微软雅黑" w:hAnsi="微软雅黑" w:eastAsia="微软雅黑" w:cs="微软雅黑"/>
          <w:sz w:val="21"/>
          <w:szCs w:val="21"/>
        </w:rPr>
        <w:t>】完成已缴费款的查询。</w:t>
      </w:r>
    </w:p>
    <w:p w14:paraId="3FE9B8F3">
      <w:pPr>
        <w:pStyle w:val="31"/>
        <w:numPr>
          <w:ilvl w:val="0"/>
          <w:numId w:val="7"/>
        </w:numPr>
        <w:spacing w:line="36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进入已缴费查询模块</w:t>
      </w:r>
    </w:p>
    <w:p w14:paraId="29713CCB">
      <w:pPr>
        <w:spacing w:line="360" w:lineRule="auto"/>
        <w:rPr>
          <w:rFonts w:ascii="微软雅黑" w:hAnsi="微软雅黑" w:eastAsia="微软雅黑" w:cs="微软雅黑"/>
          <w:sz w:val="21"/>
          <w:szCs w:val="21"/>
        </w:rPr>
      </w:pPr>
      <w:r>
        <w:drawing>
          <wp:inline distT="0" distB="0" distL="0" distR="0">
            <wp:extent cx="5274310" cy="193103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
                    <a:stretch>
                      <a:fillRect/>
                    </a:stretch>
                  </pic:blipFill>
                  <pic:spPr>
                    <a:xfrm>
                      <a:off x="0" y="0"/>
                      <a:ext cx="5274310" cy="1931035"/>
                    </a:xfrm>
                    <a:prstGeom prst="rect">
                      <a:avLst/>
                    </a:prstGeom>
                  </pic:spPr>
                </pic:pic>
              </a:graphicData>
            </a:graphic>
          </wp:inline>
        </w:drawing>
      </w:r>
    </w:p>
    <w:p w14:paraId="14E53A70">
      <w:pPr>
        <w:numPr>
          <w:ilvl w:val="0"/>
          <w:numId w:val="8"/>
        </w:numPr>
        <w:spacing w:line="360" w:lineRule="auto"/>
        <w:rPr>
          <w:rFonts w:ascii="微软雅黑" w:hAnsi="微软雅黑" w:eastAsia="微软雅黑" w:cs="微软雅黑"/>
          <w:sz w:val="21"/>
          <w:szCs w:val="21"/>
        </w:rPr>
      </w:pPr>
      <w:r>
        <w:rPr>
          <w:rFonts w:hint="eastAsia" w:ascii="微软雅黑" w:hAnsi="微软雅黑" w:eastAsia="微软雅黑" w:cs="微软雅黑"/>
          <w:sz w:val="21"/>
          <w:szCs w:val="21"/>
        </w:rPr>
        <w:t>输入查询费款对应报表的的费款所属期。</w:t>
      </w:r>
    </w:p>
    <w:p w14:paraId="563B5A98">
      <w:pPr>
        <w:spacing w:line="360" w:lineRule="auto"/>
      </w:pPr>
      <w:r>
        <w:rPr>
          <w:rFonts w:hint="eastAsia" w:ascii="微软雅黑" w:hAnsi="微软雅黑" w:eastAsia="微软雅黑" w:cs="微软雅黑"/>
          <w:sz w:val="21"/>
          <w:szCs w:val="21"/>
        </w:rPr>
        <w:t>点击“查询”，显示查询时间段内的已缴费款对应的明细信息。</w:t>
      </w:r>
    </w:p>
    <w:p w14:paraId="3977CDE6">
      <w:pPr>
        <w:pStyle w:val="4"/>
        <w:spacing w:line="360" w:lineRule="auto"/>
        <w:rPr>
          <w:rFonts w:ascii="微软雅黑" w:hAnsi="微软雅黑" w:eastAsia="微软雅黑" w:cs="微软雅黑"/>
        </w:rPr>
      </w:pPr>
      <w:bookmarkStart w:id="35" w:name="_Toc11343"/>
      <w:r>
        <w:rPr>
          <w:rFonts w:hint="eastAsia" w:ascii="微软雅黑" w:hAnsi="微软雅黑" w:eastAsia="微软雅黑" w:cs="微软雅黑"/>
        </w:rPr>
        <w:t>1.</w:t>
      </w:r>
      <w:r>
        <w:rPr>
          <w:rFonts w:ascii="微软雅黑" w:hAnsi="微软雅黑" w:eastAsia="微软雅黑" w:cs="微软雅黑"/>
        </w:rPr>
        <w:t>7</w:t>
      </w:r>
      <w:r>
        <w:rPr>
          <w:rFonts w:hint="eastAsia" w:ascii="微软雅黑" w:hAnsi="微软雅黑" w:eastAsia="微软雅黑" w:cs="微软雅黑"/>
        </w:rPr>
        <w:t>城乡居民养老保险选择缴费金额</w:t>
      </w:r>
      <w:bookmarkEnd w:id="35"/>
    </w:p>
    <w:p w14:paraId="15B80C8B">
      <w:pPr>
        <w:spacing w:line="360" w:lineRule="auto"/>
        <w:rPr>
          <w:sz w:val="21"/>
          <w:szCs w:val="21"/>
        </w:rPr>
      </w:pPr>
      <w:r>
        <w:rPr>
          <w:rFonts w:hint="eastAsia" w:ascii="微软雅黑" w:hAnsi="微软雅黑" w:eastAsia="微软雅黑" w:cs="微软雅黑"/>
          <w:sz w:val="21"/>
          <w:szCs w:val="21"/>
        </w:rPr>
        <w:t>缴费人可以通过此功能设置本年度缴纳险种的缴费金额。</w:t>
      </w:r>
    </w:p>
    <w:p w14:paraId="4B7D1CB5">
      <w:pPr>
        <w:numPr>
          <w:ilvl w:val="0"/>
          <w:numId w:val="6"/>
        </w:numPr>
        <w:spacing w:line="360" w:lineRule="auto"/>
      </w:pPr>
      <w:r>
        <w:rPr>
          <w:rFonts w:hint="eastAsia"/>
        </w:rPr>
        <w:t>用户选择缴费信息后可进行缴费金额设置。点击【缴费金额】字段选择所需缴费的金额。</w:t>
      </w:r>
    </w:p>
    <w:p w14:paraId="7CD886B9">
      <w:pPr>
        <w:spacing w:line="360" w:lineRule="auto"/>
      </w:pPr>
      <w:r>
        <w:drawing>
          <wp:inline distT="0" distB="0" distL="0" distR="0">
            <wp:extent cx="5274310" cy="272415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5"/>
                    <a:stretch>
                      <a:fillRect/>
                    </a:stretch>
                  </pic:blipFill>
                  <pic:spPr>
                    <a:xfrm>
                      <a:off x="0" y="0"/>
                      <a:ext cx="5274310" cy="2724150"/>
                    </a:xfrm>
                    <a:prstGeom prst="rect">
                      <a:avLst/>
                    </a:prstGeom>
                  </pic:spPr>
                </pic:pic>
              </a:graphicData>
            </a:graphic>
          </wp:inline>
        </w:drawing>
      </w:r>
    </w:p>
    <w:p w14:paraId="03D8E827">
      <w:pPr>
        <w:numPr>
          <w:ilvl w:val="0"/>
          <w:numId w:val="6"/>
        </w:numPr>
        <w:spacing w:line="360" w:lineRule="auto"/>
      </w:pPr>
      <w:r>
        <w:rPr>
          <w:rFonts w:hint="eastAsia"/>
        </w:rPr>
        <w:t>用户点击提交按钮，系统会将缴费金额选择信息上传至税务系统，生成对应的缴费信息。</w:t>
      </w:r>
    </w:p>
    <w:p w14:paraId="6B04440C">
      <w:pPr>
        <w:pStyle w:val="16"/>
        <w:shd w:val="clear" w:color="auto" w:fill="FFFFFF"/>
        <w:spacing w:before="0" w:beforeAutospacing="0" w:after="0" w:afterAutospacing="0" w:line="360" w:lineRule="auto"/>
        <w:jc w:val="both"/>
      </w:pPr>
      <w:r>
        <w:drawing>
          <wp:inline distT="0" distB="0" distL="0" distR="0">
            <wp:extent cx="5274310" cy="207962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6"/>
                    <a:stretch>
                      <a:fillRect/>
                    </a:stretch>
                  </pic:blipFill>
                  <pic:spPr>
                    <a:xfrm>
                      <a:off x="0" y="0"/>
                      <a:ext cx="5274310" cy="2079625"/>
                    </a:xfrm>
                    <a:prstGeom prst="rect">
                      <a:avLst/>
                    </a:prstGeom>
                  </pic:spPr>
                </pic:pic>
              </a:graphicData>
            </a:graphic>
          </wp:inline>
        </w:drawing>
      </w:r>
    </w:p>
    <w:p w14:paraId="375AFDAD">
      <w:pPr>
        <w:pStyle w:val="4"/>
        <w:spacing w:line="360" w:lineRule="auto"/>
        <w:rPr>
          <w:rFonts w:ascii="微软雅黑" w:hAnsi="微软雅黑" w:eastAsia="微软雅黑" w:cs="微软雅黑"/>
        </w:rPr>
      </w:pPr>
      <w:bookmarkStart w:id="36" w:name="_Toc4952"/>
      <w:r>
        <w:rPr>
          <w:rFonts w:ascii="微软雅黑" w:hAnsi="微软雅黑" w:eastAsia="微软雅黑" w:cs="微软雅黑"/>
        </w:rPr>
        <w:t>1.8</w:t>
      </w:r>
      <w:r>
        <w:rPr>
          <w:rFonts w:hint="eastAsia" w:ascii="微软雅黑" w:hAnsi="微软雅黑" w:eastAsia="微软雅黑" w:cs="微软雅黑"/>
        </w:rPr>
        <w:t>缴费金额作废</w:t>
      </w:r>
      <w:bookmarkEnd w:id="36"/>
    </w:p>
    <w:p w14:paraId="49BDAD7B">
      <w:pPr>
        <w:spacing w:line="360" w:lineRule="auto"/>
        <w:rPr>
          <w:rFonts w:ascii="微软雅黑" w:hAnsi="微软雅黑" w:eastAsia="微软雅黑" w:cs="微软雅黑"/>
          <w:sz w:val="21"/>
          <w:szCs w:val="21"/>
        </w:rPr>
      </w:pPr>
      <w:r>
        <w:rPr>
          <w:rFonts w:hint="eastAsia" w:ascii="微软雅黑" w:hAnsi="微软雅黑" w:eastAsia="微软雅黑" w:cs="微软雅黑"/>
          <w:sz w:val="21"/>
          <w:szCs w:val="21"/>
        </w:rPr>
        <w:t>用户可以通过缴费金额作废模块，对不想继续批扣的险种金额档次的作废。作废后，此险种在缴费金额有效期起止内不再继续批扣。（只支持城乡居民养老保险）</w:t>
      </w:r>
    </w:p>
    <w:p w14:paraId="1737B752">
      <w:pPr>
        <w:spacing w:line="360" w:lineRule="auto"/>
      </w:pPr>
      <w:r>
        <w:drawing>
          <wp:inline distT="0" distB="0" distL="0" distR="0">
            <wp:extent cx="5274310" cy="257302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7"/>
                    <a:stretch>
                      <a:fillRect/>
                    </a:stretch>
                  </pic:blipFill>
                  <pic:spPr>
                    <a:xfrm>
                      <a:off x="0" y="0"/>
                      <a:ext cx="5274310" cy="2573020"/>
                    </a:xfrm>
                    <a:prstGeom prst="rect">
                      <a:avLst/>
                    </a:prstGeom>
                  </pic:spPr>
                </pic:pic>
              </a:graphicData>
            </a:graphic>
          </wp:inline>
        </w:drawing>
      </w:r>
    </w:p>
    <w:p w14:paraId="40D0B95F">
      <w:pPr>
        <w:numPr>
          <w:ilvl w:val="0"/>
          <w:numId w:val="6"/>
        </w:numPr>
        <w:spacing w:line="360" w:lineRule="auto"/>
      </w:pPr>
      <w:r>
        <w:rPr>
          <w:rFonts w:hint="eastAsia" w:cs="黑体"/>
          <w:szCs w:val="22"/>
        </w:rPr>
        <w:t>用户点击【缴费金额作废】进入功能页面</w:t>
      </w:r>
      <w:r>
        <w:rPr>
          <w:rFonts w:hint="eastAsia"/>
        </w:rPr>
        <w:t>。</w:t>
      </w:r>
    </w:p>
    <w:p w14:paraId="471B94F5">
      <w:pPr>
        <w:numPr>
          <w:ilvl w:val="0"/>
          <w:numId w:val="6"/>
        </w:numPr>
        <w:spacing w:line="360" w:lineRule="auto"/>
      </w:pPr>
      <w:r>
        <w:rPr>
          <w:rFonts w:hint="eastAsia" w:cs="黑体"/>
          <w:szCs w:val="22"/>
        </w:rPr>
        <w:t>根据用户需要选择</w:t>
      </w:r>
      <w:r>
        <w:rPr>
          <w:rFonts w:hint="eastAsia"/>
        </w:rPr>
        <w:t>不想继续批扣的险种金额档次后，点击右下角作废按钮，作废后，此险种在缴费金额有效期起止内不再继续批扣。</w:t>
      </w:r>
    </w:p>
    <w:p w14:paraId="2A8F2DEF">
      <w:pPr>
        <w:spacing w:line="360" w:lineRule="auto"/>
      </w:pPr>
      <w:r>
        <w:drawing>
          <wp:inline distT="0" distB="0" distL="0" distR="0">
            <wp:extent cx="3642360" cy="188849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8"/>
                    <a:stretch>
                      <a:fillRect/>
                    </a:stretch>
                  </pic:blipFill>
                  <pic:spPr>
                    <a:xfrm>
                      <a:off x="0" y="0"/>
                      <a:ext cx="3652054" cy="1893299"/>
                    </a:xfrm>
                    <a:prstGeom prst="rect">
                      <a:avLst/>
                    </a:prstGeom>
                  </pic:spPr>
                </pic:pic>
              </a:graphicData>
            </a:graphic>
          </wp:inline>
        </w:drawing>
      </w:r>
    </w:p>
    <w:p w14:paraId="0FB55E51">
      <w:pPr>
        <w:pStyle w:val="4"/>
        <w:spacing w:line="360" w:lineRule="auto"/>
        <w:rPr>
          <w:rFonts w:ascii="微软雅黑" w:hAnsi="微软雅黑" w:eastAsia="微软雅黑" w:cs="微软雅黑"/>
        </w:rPr>
      </w:pPr>
      <w:bookmarkStart w:id="37" w:name="_Toc11917"/>
      <w:r>
        <w:rPr>
          <w:rFonts w:ascii="微软雅黑" w:hAnsi="微软雅黑" w:eastAsia="微软雅黑" w:cs="微软雅黑"/>
        </w:rPr>
        <w:t>1.9</w:t>
      </w:r>
      <w:r>
        <w:rPr>
          <w:rFonts w:hint="eastAsia" w:ascii="微软雅黑" w:hAnsi="微软雅黑" w:eastAsia="微软雅黑" w:cs="微软雅黑"/>
          <w:lang w:val="en-US" w:eastAsia="zh-CN"/>
        </w:rPr>
        <w:t>个人委托扣款</w:t>
      </w:r>
      <w:r>
        <w:rPr>
          <w:rFonts w:hint="eastAsia" w:ascii="微软雅黑" w:hAnsi="微软雅黑" w:eastAsia="微软雅黑" w:cs="微软雅黑"/>
        </w:rPr>
        <w:t>缴费协议</w:t>
      </w:r>
      <w:bookmarkEnd w:id="37"/>
    </w:p>
    <w:p w14:paraId="363FDD7B">
      <w:pPr>
        <w:pStyle w:val="5"/>
        <w:spacing w:line="360" w:lineRule="auto"/>
      </w:pPr>
      <w:r>
        <w:t>1</w:t>
      </w:r>
      <w:r>
        <w:rPr>
          <w:rFonts w:hint="eastAsia"/>
        </w:rPr>
        <w:t>.</w:t>
      </w:r>
      <w:r>
        <w:t>9</w:t>
      </w:r>
      <w:r>
        <w:rPr>
          <w:rFonts w:hint="eastAsia"/>
        </w:rPr>
        <w:t>.1新增协议流程</w:t>
      </w:r>
    </w:p>
    <w:p w14:paraId="7A626145">
      <w:pPr>
        <w:spacing w:line="360" w:lineRule="auto"/>
      </w:pPr>
      <w:r>
        <w:drawing>
          <wp:inline distT="0" distB="0" distL="0" distR="0">
            <wp:extent cx="5274310" cy="99377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9"/>
                    <a:stretch>
                      <a:fillRect/>
                    </a:stretch>
                  </pic:blipFill>
                  <pic:spPr>
                    <a:xfrm>
                      <a:off x="0" y="0"/>
                      <a:ext cx="5274310" cy="993775"/>
                    </a:xfrm>
                    <a:prstGeom prst="rect">
                      <a:avLst/>
                    </a:prstGeom>
                  </pic:spPr>
                </pic:pic>
              </a:graphicData>
            </a:graphic>
          </wp:inline>
        </w:drawing>
      </w:r>
    </w:p>
    <w:p w14:paraId="3E0534BF">
      <w:pPr>
        <w:pStyle w:val="31"/>
        <w:widowControl w:val="0"/>
        <w:numPr>
          <w:ilvl w:val="0"/>
          <w:numId w:val="9"/>
        </w:numPr>
        <w:spacing w:line="360" w:lineRule="auto"/>
        <w:ind w:firstLineChars="0"/>
        <w:jc w:val="both"/>
      </w:pPr>
      <w:r>
        <w:rPr>
          <w:rFonts w:hint="eastAsia"/>
        </w:rPr>
        <w:t>点击【个人委托扣款缴费</w:t>
      </w:r>
      <w:r>
        <w:rPr>
          <w:rFonts w:hint="eastAsia" w:ascii="微软雅黑" w:hAnsi="微软雅黑" w:eastAsia="微软雅黑" w:cs="微软雅黑"/>
        </w:rPr>
        <w:t>协议</w:t>
      </w:r>
      <w:r>
        <w:rPr>
          <w:rFonts w:hint="eastAsia"/>
        </w:rPr>
        <w:t>】功能，点击页面上新增协议按钮，申请一条新的个人扣款协议。</w:t>
      </w:r>
    </w:p>
    <w:p w14:paraId="0AB520B0">
      <w:pPr>
        <w:spacing w:line="360" w:lineRule="auto"/>
      </w:pPr>
      <w:r>
        <w:drawing>
          <wp:inline distT="0" distB="0" distL="0" distR="0">
            <wp:extent cx="5274310" cy="354901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0"/>
                    <a:stretch>
                      <a:fillRect/>
                    </a:stretch>
                  </pic:blipFill>
                  <pic:spPr>
                    <a:xfrm>
                      <a:off x="0" y="0"/>
                      <a:ext cx="5274310" cy="3549015"/>
                    </a:xfrm>
                    <a:prstGeom prst="rect">
                      <a:avLst/>
                    </a:prstGeom>
                  </pic:spPr>
                </pic:pic>
              </a:graphicData>
            </a:graphic>
          </wp:inline>
        </w:drawing>
      </w:r>
    </w:p>
    <w:p w14:paraId="50E1261A">
      <w:pPr>
        <w:pStyle w:val="31"/>
        <w:widowControl w:val="0"/>
        <w:numPr>
          <w:ilvl w:val="0"/>
          <w:numId w:val="10"/>
        </w:numPr>
        <w:spacing w:line="360" w:lineRule="auto"/>
        <w:ind w:firstLineChars="0"/>
        <w:jc w:val="both"/>
      </w:pPr>
      <w:r>
        <w:rPr>
          <w:rFonts w:hint="eastAsia"/>
        </w:rPr>
        <w:t>本系统只支持给本人签订扣款协议，缴费人信息为自动带出，不可变更。</w:t>
      </w:r>
    </w:p>
    <w:p w14:paraId="383E892E">
      <w:pPr>
        <w:pStyle w:val="31"/>
        <w:widowControl w:val="0"/>
        <w:numPr>
          <w:ilvl w:val="0"/>
          <w:numId w:val="10"/>
        </w:numPr>
        <w:spacing w:line="360" w:lineRule="auto"/>
        <w:ind w:firstLineChars="0"/>
        <w:jc w:val="both"/>
      </w:pPr>
      <w:r>
        <w:rPr>
          <w:rFonts w:hint="eastAsia"/>
        </w:rPr>
        <w:t>选择税务机关，请确认您签订的协议中的税务机关名称必须和您申请缴费的税务机关名称一致，否则该协议将无法用于对应的社保费缴款。</w:t>
      </w:r>
    </w:p>
    <w:p w14:paraId="3C65B090">
      <w:pPr>
        <w:pStyle w:val="31"/>
        <w:widowControl w:val="0"/>
        <w:numPr>
          <w:ilvl w:val="0"/>
          <w:numId w:val="10"/>
        </w:numPr>
        <w:spacing w:line="360" w:lineRule="auto"/>
        <w:ind w:firstLineChars="0"/>
        <w:jc w:val="both"/>
        <w:rPr>
          <w:b/>
        </w:rPr>
      </w:pPr>
      <w:r>
        <w:rPr>
          <w:rFonts w:hint="eastAsia"/>
        </w:rPr>
        <w:t>填写签约银行信息。包括开户银行名称、持卡人姓名和银行账号。请注意，签约银行卡必须为缴费人本人持有的银行卡，即持卡人姓名需要和缴费人姓名保证一致，否则会签约失败。</w:t>
      </w:r>
    </w:p>
    <w:p w14:paraId="489B51AF">
      <w:pPr>
        <w:pStyle w:val="31"/>
        <w:widowControl w:val="0"/>
        <w:numPr>
          <w:ilvl w:val="0"/>
          <w:numId w:val="10"/>
        </w:numPr>
        <w:spacing w:line="360" w:lineRule="auto"/>
        <w:ind w:firstLineChars="0"/>
        <w:jc w:val="both"/>
      </w:pPr>
      <w:r>
        <w:rPr>
          <w:rFonts w:hint="eastAsia"/>
        </w:rPr>
        <w:t>以上信息填写正确后，用户点击【提交】按钮，若扣款协议签订成功，系统跳转到协议签订成功提示页面。该协议将于次日生效。</w:t>
      </w:r>
    </w:p>
    <w:p w14:paraId="71BF6658">
      <w:pPr>
        <w:spacing w:line="360" w:lineRule="auto"/>
      </w:pPr>
      <w:r>
        <w:drawing>
          <wp:inline distT="0" distB="0" distL="114300" distR="114300">
            <wp:extent cx="5272405" cy="2346325"/>
            <wp:effectExtent l="0" t="0" r="4445" b="15875"/>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31"/>
                    <a:stretch>
                      <a:fillRect/>
                    </a:stretch>
                  </pic:blipFill>
                  <pic:spPr>
                    <a:xfrm>
                      <a:off x="0" y="0"/>
                      <a:ext cx="5272405" cy="2346325"/>
                    </a:xfrm>
                    <a:prstGeom prst="rect">
                      <a:avLst/>
                    </a:prstGeom>
                    <a:noFill/>
                    <a:ln>
                      <a:noFill/>
                    </a:ln>
                  </pic:spPr>
                </pic:pic>
              </a:graphicData>
            </a:graphic>
          </wp:inline>
        </w:drawing>
      </w:r>
    </w:p>
    <w:p w14:paraId="6E5B7256">
      <w:pPr>
        <w:pStyle w:val="5"/>
        <w:spacing w:line="360" w:lineRule="auto"/>
      </w:pPr>
      <w:r>
        <w:t>1</w:t>
      </w:r>
      <w:r>
        <w:rPr>
          <w:rFonts w:hint="eastAsia"/>
        </w:rPr>
        <w:t>.</w:t>
      </w:r>
      <w:r>
        <w:t>9</w:t>
      </w:r>
      <w:r>
        <w:rPr>
          <w:rFonts w:hint="eastAsia"/>
        </w:rPr>
        <w:t>.2 协议撤销</w:t>
      </w:r>
    </w:p>
    <w:p w14:paraId="565899DF">
      <w:pPr>
        <w:spacing w:line="360" w:lineRule="auto"/>
      </w:pPr>
      <w:r>
        <w:t>对于验证成功的</w:t>
      </w:r>
      <w:r>
        <w:rPr>
          <w:rFonts w:hint="eastAsia"/>
        </w:rPr>
        <w:t>个人委托扣款协议，</w:t>
      </w:r>
      <w:r>
        <w:t>如果用户不在继续使用</w:t>
      </w:r>
      <w:r>
        <w:rPr>
          <w:rFonts w:hint="eastAsia"/>
        </w:rPr>
        <w:t>个人委托扣款协议，</w:t>
      </w:r>
      <w:r>
        <w:t>可选择撤销该</w:t>
      </w:r>
      <w:r>
        <w:rPr>
          <w:rFonts w:hint="eastAsia"/>
        </w:rPr>
        <w:t>个人委托扣款协议。</w:t>
      </w:r>
    </w:p>
    <w:p w14:paraId="13F07710">
      <w:pPr>
        <w:widowControl w:val="0"/>
        <w:spacing w:line="360" w:lineRule="auto"/>
        <w:jc w:val="both"/>
      </w:pPr>
      <w:r>
        <w:rPr>
          <w:rFonts w:hint="eastAsia"/>
        </w:rPr>
        <w:t>1、选择一条验证成功的个人委托扣款协议，点击撤销按钮。</w:t>
      </w:r>
    </w:p>
    <w:p w14:paraId="4CDB9AFC">
      <w:pPr>
        <w:spacing w:line="360" w:lineRule="auto"/>
      </w:pPr>
      <w:r>
        <w:drawing>
          <wp:inline distT="0" distB="0" distL="0" distR="0">
            <wp:extent cx="5274310" cy="141478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2"/>
                    <a:stretch>
                      <a:fillRect/>
                    </a:stretch>
                  </pic:blipFill>
                  <pic:spPr>
                    <a:xfrm>
                      <a:off x="0" y="0"/>
                      <a:ext cx="5274310" cy="1414780"/>
                    </a:xfrm>
                    <a:prstGeom prst="rect">
                      <a:avLst/>
                    </a:prstGeom>
                  </pic:spPr>
                </pic:pic>
              </a:graphicData>
            </a:graphic>
          </wp:inline>
        </w:drawing>
      </w:r>
    </w:p>
    <w:p w14:paraId="2CDDE754">
      <w:pPr>
        <w:spacing w:line="360" w:lineRule="auto"/>
      </w:pPr>
      <w:r>
        <w:rPr>
          <w:rFonts w:hint="eastAsia"/>
        </w:rPr>
        <w:t>2、点击撤销后，用户再次确认是否撤销该协议</w:t>
      </w:r>
    </w:p>
    <w:p w14:paraId="590C7E16">
      <w:pPr>
        <w:spacing w:line="360" w:lineRule="auto"/>
      </w:pPr>
      <w:r>
        <w:drawing>
          <wp:inline distT="0" distB="0" distL="0" distR="0">
            <wp:extent cx="5274310" cy="2205355"/>
            <wp:effectExtent l="0" t="0" r="2540"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5274310" cy="2205355"/>
                    </a:xfrm>
                    <a:prstGeom prst="rect">
                      <a:avLst/>
                    </a:prstGeom>
                  </pic:spPr>
                </pic:pic>
              </a:graphicData>
            </a:graphic>
          </wp:inline>
        </w:drawing>
      </w:r>
    </w:p>
    <w:p w14:paraId="648E0309">
      <w:pPr>
        <w:spacing w:line="360" w:lineRule="auto"/>
      </w:pPr>
      <w:r>
        <w:rPr>
          <w:rFonts w:hint="eastAsia"/>
        </w:rPr>
        <w:t>3、点击确定后，扣款协议撤销成功。用户不能再使用该协议进行社保费缴款或批扣。</w:t>
      </w:r>
    </w:p>
    <w:p w14:paraId="2E2ABE9B">
      <w:pPr>
        <w:spacing w:line="360" w:lineRule="auto"/>
      </w:pPr>
      <w:r>
        <w:drawing>
          <wp:inline distT="0" distB="0" distL="114300" distR="114300">
            <wp:extent cx="5267960" cy="2393315"/>
            <wp:effectExtent l="0" t="0" r="8890" b="698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34"/>
                    <a:stretch>
                      <a:fillRect/>
                    </a:stretch>
                  </pic:blipFill>
                  <pic:spPr>
                    <a:xfrm>
                      <a:off x="0" y="0"/>
                      <a:ext cx="5267960" cy="2393315"/>
                    </a:xfrm>
                    <a:prstGeom prst="rect">
                      <a:avLst/>
                    </a:prstGeom>
                    <a:noFill/>
                    <a:ln>
                      <a:noFill/>
                    </a:ln>
                  </pic:spPr>
                </pic:pic>
              </a:graphicData>
            </a:graphic>
          </wp:inline>
        </w:drawing>
      </w:r>
    </w:p>
    <w:p w14:paraId="053A9D57">
      <w:pPr>
        <w:pStyle w:val="3"/>
        <w:spacing w:line="360" w:lineRule="auto"/>
        <w:rPr>
          <w:rFonts w:ascii="微软雅黑" w:hAnsi="微软雅黑" w:eastAsia="微软雅黑" w:cs="微软雅黑"/>
        </w:rPr>
      </w:pPr>
      <w:bookmarkStart w:id="38" w:name="_Toc3245"/>
      <w:r>
        <w:rPr>
          <w:rFonts w:hint="eastAsia" w:ascii="微软雅黑" w:hAnsi="微软雅黑" w:eastAsia="微软雅黑" w:cs="微软雅黑"/>
        </w:rPr>
        <w:t>2.社保缴费证明</w:t>
      </w:r>
      <w:bookmarkEnd w:id="38"/>
    </w:p>
    <w:p w14:paraId="17BA5AFA">
      <w:pPr>
        <w:pStyle w:val="4"/>
        <w:spacing w:line="360" w:lineRule="auto"/>
        <w:rPr>
          <w:rFonts w:ascii="微软雅黑" w:hAnsi="微软雅黑" w:eastAsia="微软雅黑" w:cs="微软雅黑"/>
        </w:rPr>
      </w:pPr>
      <w:bookmarkStart w:id="39" w:name="_Toc16642"/>
      <w:r>
        <w:rPr>
          <w:rFonts w:hint="eastAsia" w:ascii="微软雅黑" w:hAnsi="微软雅黑" w:eastAsia="微软雅黑" w:cs="微软雅黑"/>
        </w:rPr>
        <w:t>2.1开具社会保险费缴费记录</w:t>
      </w:r>
      <w:bookmarkEnd w:id="39"/>
    </w:p>
    <w:p w14:paraId="4EC101E4">
      <w:pPr>
        <w:spacing w:line="360" w:lineRule="auto"/>
        <w:rPr>
          <w:rFonts w:ascii="微软雅黑" w:hAnsi="微软雅黑" w:eastAsia="微软雅黑" w:cs="微软雅黑"/>
          <w:sz w:val="21"/>
          <w:szCs w:val="21"/>
        </w:rPr>
      </w:pPr>
      <w:r>
        <w:rPr>
          <w:rFonts w:hint="eastAsia" w:ascii="微软雅黑" w:hAnsi="微软雅黑" w:eastAsia="微软雅黑" w:cs="微软雅黑"/>
          <w:sz w:val="21"/>
          <w:szCs w:val="21"/>
        </w:rPr>
        <w:t>点击【开具社会保险费缴费记录】，显示如下界面：</w:t>
      </w:r>
    </w:p>
    <w:p w14:paraId="4C72526C">
      <w:pPr>
        <w:spacing w:line="360" w:lineRule="auto"/>
        <w:rPr>
          <w:rFonts w:ascii="微软雅黑" w:hAnsi="微软雅黑" w:eastAsia="微软雅黑" w:cs="微软雅黑"/>
        </w:rPr>
      </w:pPr>
      <w:r>
        <w:drawing>
          <wp:inline distT="0" distB="0" distL="0" distR="0">
            <wp:extent cx="5274310" cy="199517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5"/>
                    <a:stretch>
                      <a:fillRect/>
                    </a:stretch>
                  </pic:blipFill>
                  <pic:spPr>
                    <a:xfrm>
                      <a:off x="0" y="0"/>
                      <a:ext cx="5274310" cy="1995170"/>
                    </a:xfrm>
                    <a:prstGeom prst="rect">
                      <a:avLst/>
                    </a:prstGeom>
                  </pic:spPr>
                </pic:pic>
              </a:graphicData>
            </a:graphic>
          </wp:inline>
        </w:drawing>
      </w:r>
    </w:p>
    <w:p w14:paraId="4744B2D2">
      <w:pPr>
        <w:spacing w:line="360" w:lineRule="auto"/>
        <w:rPr>
          <w:rFonts w:ascii="微软雅黑" w:hAnsi="微软雅黑" w:eastAsia="微软雅黑" w:cs="微软雅黑"/>
          <w:sz w:val="21"/>
          <w:szCs w:val="21"/>
        </w:rPr>
      </w:pPr>
      <w:r>
        <w:rPr>
          <w:rFonts w:hint="eastAsia" w:ascii="微软雅黑" w:hAnsi="微软雅黑" w:eastAsia="微软雅黑" w:cs="微软雅黑"/>
          <w:sz w:val="21"/>
          <w:szCs w:val="21"/>
        </w:rPr>
        <w:t>开具社保缴费记录步骤：</w:t>
      </w:r>
    </w:p>
    <w:p w14:paraId="52D3B950">
      <w:pPr>
        <w:pStyle w:val="31"/>
        <w:numPr>
          <w:ilvl w:val="0"/>
          <w:numId w:val="11"/>
        </w:numPr>
        <w:spacing w:line="36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用户需填写或选择费款所属起始日期和截止日期。</w:t>
      </w:r>
    </w:p>
    <w:p w14:paraId="5A69E688">
      <w:pPr>
        <w:pStyle w:val="31"/>
        <w:numPr>
          <w:ilvl w:val="0"/>
          <w:numId w:val="11"/>
        </w:numPr>
        <w:spacing w:line="36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点击“查询”按钮，得到缴费明细查询结果表。</w:t>
      </w:r>
    </w:p>
    <w:p w14:paraId="1E3EFE65">
      <w:pPr>
        <w:pStyle w:val="31"/>
        <w:numPr>
          <w:ilvl w:val="0"/>
          <w:numId w:val="11"/>
        </w:numPr>
        <w:spacing w:line="36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显示查询结果后， 用户可点击“证明打印”按钮，进行缴费证明制作。</w:t>
      </w:r>
    </w:p>
    <w:p w14:paraId="62B79866">
      <w:pPr>
        <w:spacing w:line="360" w:lineRule="auto"/>
        <w:jc w:val="center"/>
        <w:rPr>
          <w:rFonts w:ascii="微软雅黑" w:hAnsi="微软雅黑" w:eastAsia="微软雅黑" w:cs="微软雅黑"/>
          <w:sz w:val="18"/>
          <w:szCs w:val="18"/>
        </w:rPr>
      </w:pPr>
      <w:r>
        <w:drawing>
          <wp:inline distT="0" distB="0" distL="0" distR="0">
            <wp:extent cx="5274310" cy="2239010"/>
            <wp:effectExtent l="0" t="0" r="254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6"/>
                    <a:stretch>
                      <a:fillRect/>
                    </a:stretch>
                  </pic:blipFill>
                  <pic:spPr>
                    <a:xfrm>
                      <a:off x="0" y="0"/>
                      <a:ext cx="5274310" cy="2239010"/>
                    </a:xfrm>
                    <a:prstGeom prst="rect">
                      <a:avLst/>
                    </a:prstGeom>
                  </pic:spPr>
                </pic:pic>
              </a:graphicData>
            </a:graphic>
          </wp:inline>
        </w:drawing>
      </w:r>
    </w:p>
    <w:p w14:paraId="01521474">
      <w:pPr>
        <w:pStyle w:val="31"/>
        <w:numPr>
          <w:ilvl w:val="0"/>
          <w:numId w:val="11"/>
        </w:numPr>
        <w:spacing w:line="36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点击“证明打印”按钮后，系统会自动跳转到【社保缴费记录下载】页面，可看到制作成功或者正在制作的缴费证明。</w:t>
      </w:r>
    </w:p>
    <w:p w14:paraId="1C106138">
      <w:pPr>
        <w:spacing w:line="360" w:lineRule="auto"/>
        <w:rPr>
          <w:rFonts w:ascii="微软雅黑" w:hAnsi="微软雅黑" w:eastAsia="微软雅黑" w:cs="微软雅黑"/>
        </w:rPr>
      </w:pPr>
      <w:r>
        <w:drawing>
          <wp:inline distT="0" distB="0" distL="0" distR="0">
            <wp:extent cx="5274310" cy="133921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5274310" cy="1339215"/>
                    </a:xfrm>
                    <a:prstGeom prst="rect">
                      <a:avLst/>
                    </a:prstGeom>
                  </pic:spPr>
                </pic:pic>
              </a:graphicData>
            </a:graphic>
          </wp:inline>
        </w:drawing>
      </w:r>
    </w:p>
    <w:p w14:paraId="698A8090">
      <w:pPr>
        <w:pStyle w:val="4"/>
        <w:spacing w:line="360" w:lineRule="auto"/>
        <w:rPr>
          <w:rFonts w:ascii="微软雅黑" w:hAnsi="微软雅黑" w:eastAsia="微软雅黑" w:cs="微软雅黑"/>
        </w:rPr>
      </w:pPr>
      <w:bookmarkStart w:id="40" w:name="_Toc24088"/>
      <w:r>
        <w:rPr>
          <w:rFonts w:hint="eastAsia" w:ascii="微软雅黑" w:hAnsi="微软雅黑" w:eastAsia="微软雅黑" w:cs="微软雅黑"/>
        </w:rPr>
        <w:t>2.2社保缴费</w:t>
      </w:r>
      <w:r>
        <w:rPr>
          <w:rFonts w:hint="eastAsia" w:ascii="微软雅黑" w:hAnsi="微软雅黑" w:eastAsia="微软雅黑" w:cs="微软雅黑"/>
          <w:lang w:val="en-US" w:eastAsia="zh-CN"/>
        </w:rPr>
        <w:t>证明</w:t>
      </w:r>
      <w:r>
        <w:rPr>
          <w:rFonts w:hint="eastAsia" w:ascii="微软雅黑" w:hAnsi="微软雅黑" w:eastAsia="微软雅黑" w:cs="微软雅黑"/>
        </w:rPr>
        <w:t>下载</w:t>
      </w:r>
      <w:bookmarkEnd w:id="40"/>
    </w:p>
    <w:p w14:paraId="214E4DFF">
      <w:pPr>
        <w:spacing w:line="360" w:lineRule="auto"/>
        <w:rPr>
          <w:rFonts w:ascii="微软雅黑" w:hAnsi="微软雅黑" w:eastAsia="微软雅黑" w:cs="微软雅黑"/>
          <w:sz w:val="21"/>
          <w:szCs w:val="21"/>
        </w:rPr>
      </w:pPr>
      <w:r>
        <w:rPr>
          <w:rFonts w:hint="eastAsia" w:ascii="微软雅黑" w:hAnsi="微软雅黑" w:eastAsia="微软雅黑" w:cs="微软雅黑"/>
          <w:sz w:val="21"/>
          <w:szCs w:val="21"/>
        </w:rPr>
        <w:t>点击“社保缴费</w:t>
      </w:r>
      <w:r>
        <w:rPr>
          <w:rFonts w:hint="eastAsia" w:ascii="微软雅黑" w:hAnsi="微软雅黑" w:eastAsia="微软雅黑" w:cs="微软雅黑"/>
          <w:sz w:val="21"/>
          <w:szCs w:val="21"/>
          <w:lang w:val="en-US" w:eastAsia="zh-CN"/>
        </w:rPr>
        <w:t>证明</w:t>
      </w:r>
      <w:r>
        <w:rPr>
          <w:rFonts w:hint="eastAsia" w:ascii="微软雅黑" w:hAnsi="微软雅黑" w:eastAsia="微软雅黑" w:cs="微软雅黑"/>
          <w:sz w:val="21"/>
          <w:szCs w:val="21"/>
        </w:rPr>
        <w:t>下载”，进入页面：</w:t>
      </w:r>
    </w:p>
    <w:p w14:paraId="4E44820A">
      <w:pPr>
        <w:spacing w:line="360" w:lineRule="auto"/>
        <w:rPr>
          <w:rFonts w:ascii="微软雅黑" w:hAnsi="微软雅黑" w:eastAsia="微软雅黑" w:cs="微软雅黑"/>
        </w:rPr>
      </w:pPr>
      <w:r>
        <w:drawing>
          <wp:inline distT="0" distB="0" distL="0" distR="0">
            <wp:extent cx="5274310" cy="2434590"/>
            <wp:effectExtent l="0" t="0" r="254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8"/>
                    <a:stretch>
                      <a:fillRect/>
                    </a:stretch>
                  </pic:blipFill>
                  <pic:spPr>
                    <a:xfrm>
                      <a:off x="0" y="0"/>
                      <a:ext cx="5274310" cy="2434590"/>
                    </a:xfrm>
                    <a:prstGeom prst="rect">
                      <a:avLst/>
                    </a:prstGeom>
                  </pic:spPr>
                </pic:pic>
              </a:graphicData>
            </a:graphic>
          </wp:inline>
        </w:drawing>
      </w:r>
    </w:p>
    <w:p w14:paraId="38A55D36">
      <w:pPr>
        <w:spacing w:line="360" w:lineRule="auto"/>
        <w:rPr>
          <w:rFonts w:ascii="微软雅黑" w:hAnsi="微软雅黑" w:eastAsia="微软雅黑" w:cs="微软雅黑"/>
        </w:rPr>
      </w:pPr>
      <w:r>
        <w:rPr>
          <w:rFonts w:hint="eastAsia" w:ascii="微软雅黑" w:hAnsi="微软雅黑" w:eastAsia="微软雅黑" w:cs="微软雅黑"/>
        </w:rPr>
        <w:t>社保缴费记录下载步骤：</w:t>
      </w:r>
    </w:p>
    <w:p w14:paraId="5435C47B">
      <w:pPr>
        <w:numPr>
          <w:ilvl w:val="0"/>
          <w:numId w:val="11"/>
        </w:numPr>
        <w:spacing w:line="360" w:lineRule="auto"/>
        <w:rPr>
          <w:rFonts w:ascii="微软雅黑" w:hAnsi="微软雅黑" w:eastAsia="微软雅黑" w:cs="微软雅黑"/>
          <w:sz w:val="21"/>
          <w:szCs w:val="21"/>
        </w:rPr>
      </w:pPr>
      <w:r>
        <w:rPr>
          <w:rFonts w:hint="eastAsia" w:ascii="微软雅黑" w:hAnsi="微软雅黑" w:eastAsia="微软雅黑" w:cs="微软雅黑"/>
          <w:sz w:val="21"/>
          <w:szCs w:val="21"/>
        </w:rPr>
        <w:t>用户需填写申请日期。</w:t>
      </w:r>
    </w:p>
    <w:p w14:paraId="5F8BBF39">
      <w:pPr>
        <w:numPr>
          <w:ilvl w:val="0"/>
          <w:numId w:val="11"/>
        </w:numPr>
        <w:spacing w:line="360" w:lineRule="auto"/>
        <w:rPr>
          <w:rFonts w:ascii="微软雅黑" w:hAnsi="微软雅黑" w:eastAsia="微软雅黑" w:cs="微软雅黑"/>
          <w:sz w:val="21"/>
          <w:szCs w:val="21"/>
        </w:rPr>
      </w:pPr>
      <w:r>
        <w:rPr>
          <w:rFonts w:hint="eastAsia" w:ascii="微软雅黑" w:hAnsi="微软雅黑" w:eastAsia="微软雅黑" w:cs="微软雅黑"/>
          <w:sz w:val="21"/>
          <w:szCs w:val="21"/>
        </w:rPr>
        <w:t>点击“查询”按钮，得到已经申请的缴费证明</w:t>
      </w:r>
    </w:p>
    <w:p w14:paraId="235433C8">
      <w:pPr>
        <w:spacing w:line="360" w:lineRule="auto"/>
        <w:rPr>
          <w:rFonts w:ascii="微软雅黑" w:hAnsi="微软雅黑" w:eastAsia="微软雅黑" w:cs="微软雅黑"/>
        </w:rPr>
      </w:pPr>
      <w:r>
        <w:rPr>
          <w:rFonts w:ascii="微软雅黑" w:hAnsi="微软雅黑" w:eastAsia="微软雅黑" w:cs="微软雅黑"/>
        </w:rPr>
        <w:drawing>
          <wp:inline distT="0" distB="0" distL="0" distR="0">
            <wp:extent cx="5273040" cy="1798320"/>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273040" cy="1798320"/>
                    </a:xfrm>
                    <a:prstGeom prst="rect">
                      <a:avLst/>
                    </a:prstGeom>
                    <a:noFill/>
                    <a:ln>
                      <a:noFill/>
                    </a:ln>
                  </pic:spPr>
                </pic:pic>
              </a:graphicData>
            </a:graphic>
          </wp:inline>
        </w:drawing>
      </w:r>
    </w:p>
    <w:p w14:paraId="0A453DEF">
      <w:pPr>
        <w:numPr>
          <w:ilvl w:val="0"/>
          <w:numId w:val="11"/>
        </w:numPr>
        <w:spacing w:line="360" w:lineRule="auto"/>
        <w:rPr>
          <w:rFonts w:ascii="微软雅黑" w:hAnsi="微软雅黑" w:eastAsia="微软雅黑" w:cs="微软雅黑"/>
          <w:sz w:val="21"/>
          <w:szCs w:val="21"/>
        </w:rPr>
      </w:pPr>
      <w:r>
        <w:rPr>
          <w:rFonts w:hint="eastAsia" w:ascii="微软雅黑" w:hAnsi="微软雅黑" w:eastAsia="微软雅黑" w:cs="微软雅黑"/>
          <w:sz w:val="21"/>
          <w:szCs w:val="21"/>
        </w:rPr>
        <w:t>用户可以通过点击“下载”按钮，下载缴费证明的PDF。</w:t>
      </w:r>
    </w:p>
    <w:p w14:paraId="04EAD35D">
      <w:pPr>
        <w:spacing w:line="360" w:lineRule="auto"/>
        <w:rPr>
          <w:rFonts w:ascii="微软雅黑" w:hAnsi="微软雅黑" w:eastAsia="微软雅黑" w:cs="微软雅黑"/>
        </w:rPr>
      </w:pPr>
      <w:r>
        <w:rPr>
          <w:rFonts w:hint="eastAsia" w:ascii="微软雅黑" w:hAnsi="微软雅黑" w:eastAsia="微软雅黑" w:cs="微软雅黑"/>
        </w:rPr>
        <w:drawing>
          <wp:inline distT="0" distB="0" distL="114300" distR="114300">
            <wp:extent cx="5269865" cy="3689350"/>
            <wp:effectExtent l="0" t="0" r="6985" b="6350"/>
            <wp:docPr id="252" name="图片 25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图片1"/>
                    <pic:cNvPicPr>
                      <a:picLocks noChangeAspect="1"/>
                    </pic:cNvPicPr>
                  </pic:nvPicPr>
                  <pic:blipFill>
                    <a:blip r:embed="rId40"/>
                    <a:stretch>
                      <a:fillRect/>
                    </a:stretch>
                  </pic:blipFill>
                  <pic:spPr>
                    <a:xfrm>
                      <a:off x="0" y="0"/>
                      <a:ext cx="5269865" cy="3689350"/>
                    </a:xfrm>
                    <a:prstGeom prst="rect">
                      <a:avLst/>
                    </a:prstGeom>
                  </pic:spPr>
                </pic:pic>
              </a:graphicData>
            </a:graphic>
          </wp:inline>
        </w:drawing>
      </w:r>
    </w:p>
    <w:p w14:paraId="024CB143">
      <w:pPr>
        <w:pStyle w:val="4"/>
        <w:spacing w:line="360" w:lineRule="auto"/>
        <w:rPr>
          <w:rFonts w:ascii="微软雅黑" w:hAnsi="微软雅黑" w:eastAsia="微软雅黑" w:cs="微软雅黑"/>
        </w:rPr>
      </w:pPr>
      <w:bookmarkStart w:id="41" w:name="_Toc9736"/>
      <w:r>
        <w:rPr>
          <w:rFonts w:hint="eastAsia" w:ascii="微软雅黑" w:hAnsi="微软雅黑" w:eastAsia="微软雅黑" w:cs="微软雅黑"/>
        </w:rPr>
        <w:t>2.3社保缴费</w:t>
      </w:r>
      <w:r>
        <w:rPr>
          <w:rFonts w:hint="eastAsia" w:ascii="微软雅黑" w:hAnsi="微软雅黑" w:eastAsia="微软雅黑" w:cs="微软雅黑"/>
          <w:lang w:val="en-US" w:eastAsia="zh-CN"/>
        </w:rPr>
        <w:t>证明</w:t>
      </w:r>
      <w:r>
        <w:rPr>
          <w:rFonts w:hint="eastAsia" w:ascii="微软雅黑" w:hAnsi="微软雅黑" w:eastAsia="微软雅黑" w:cs="微软雅黑"/>
        </w:rPr>
        <w:t>查验</w:t>
      </w:r>
      <w:bookmarkEnd w:id="41"/>
    </w:p>
    <w:p w14:paraId="7A149C17">
      <w:pPr>
        <w:spacing w:line="360" w:lineRule="auto"/>
        <w:rPr>
          <w:rFonts w:ascii="微软雅黑" w:hAnsi="微软雅黑" w:eastAsia="微软雅黑" w:cs="微软雅黑"/>
          <w:sz w:val="21"/>
          <w:szCs w:val="21"/>
        </w:rPr>
      </w:pPr>
      <w:r>
        <w:rPr>
          <w:rFonts w:hint="eastAsia" w:ascii="微软雅黑" w:hAnsi="微软雅黑" w:eastAsia="微软雅黑" w:cs="微软雅黑"/>
          <w:sz w:val="21"/>
          <w:szCs w:val="21"/>
        </w:rPr>
        <w:t>点击“社保缴费</w:t>
      </w:r>
      <w:r>
        <w:rPr>
          <w:rFonts w:hint="eastAsia" w:ascii="微软雅黑" w:hAnsi="微软雅黑" w:eastAsia="微软雅黑" w:cs="微软雅黑"/>
          <w:sz w:val="21"/>
          <w:szCs w:val="21"/>
          <w:lang w:val="en-US" w:eastAsia="zh-CN"/>
        </w:rPr>
        <w:t>证明</w:t>
      </w:r>
      <w:r>
        <w:rPr>
          <w:rFonts w:hint="eastAsia" w:ascii="微软雅黑" w:hAnsi="微软雅黑" w:eastAsia="微软雅黑" w:cs="微软雅黑"/>
          <w:sz w:val="21"/>
          <w:szCs w:val="21"/>
        </w:rPr>
        <w:t>查验”，进入页面：</w:t>
      </w:r>
    </w:p>
    <w:p w14:paraId="4A44A8D5">
      <w:pPr>
        <w:spacing w:line="360" w:lineRule="auto"/>
        <w:rPr>
          <w:rFonts w:ascii="微软雅黑" w:hAnsi="微软雅黑" w:eastAsia="微软雅黑" w:cs="微软雅黑"/>
        </w:rPr>
      </w:pPr>
      <w:r>
        <w:drawing>
          <wp:inline distT="0" distB="0" distL="114300" distR="114300">
            <wp:extent cx="5273040" cy="2461260"/>
            <wp:effectExtent l="0" t="0" r="3810" b="15240"/>
            <wp:docPr id="2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7"/>
                    <pic:cNvPicPr>
                      <a:picLocks noChangeAspect="1"/>
                    </pic:cNvPicPr>
                  </pic:nvPicPr>
                  <pic:blipFill>
                    <a:blip r:embed="rId41"/>
                    <a:stretch>
                      <a:fillRect/>
                    </a:stretch>
                  </pic:blipFill>
                  <pic:spPr>
                    <a:xfrm>
                      <a:off x="0" y="0"/>
                      <a:ext cx="5273040" cy="2461260"/>
                    </a:xfrm>
                    <a:prstGeom prst="rect">
                      <a:avLst/>
                    </a:prstGeom>
                    <a:noFill/>
                    <a:ln w="9525">
                      <a:noFill/>
                    </a:ln>
                  </pic:spPr>
                </pic:pic>
              </a:graphicData>
            </a:graphic>
          </wp:inline>
        </w:drawing>
      </w:r>
    </w:p>
    <w:p w14:paraId="55AAB590">
      <w:pPr>
        <w:spacing w:line="360" w:lineRule="auto"/>
        <w:rPr>
          <w:rFonts w:ascii="微软雅黑" w:hAnsi="微软雅黑" w:eastAsia="微软雅黑" w:cs="微软雅黑"/>
        </w:rPr>
      </w:pPr>
      <w:r>
        <w:rPr>
          <w:rFonts w:hint="eastAsia" w:ascii="微软雅黑" w:hAnsi="微软雅黑" w:eastAsia="微软雅黑" w:cs="微软雅黑"/>
        </w:rPr>
        <w:t>查验步骤：</w:t>
      </w:r>
    </w:p>
    <w:p w14:paraId="06A51049">
      <w:pPr>
        <w:pStyle w:val="31"/>
        <w:numPr>
          <w:ilvl w:val="0"/>
          <w:numId w:val="2"/>
        </w:numPr>
        <w:spacing w:line="36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用户填写缴费证明上的纳税人识别号和16位的证明校验码。</w:t>
      </w:r>
    </w:p>
    <w:p w14:paraId="68052300">
      <w:pPr>
        <w:pStyle w:val="31"/>
        <w:numPr>
          <w:ilvl w:val="0"/>
          <w:numId w:val="2"/>
        </w:numPr>
        <w:spacing w:line="36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用户填入验证码样图上的随机验证码，如看不清则点击验证码更换验证码样图。</w:t>
      </w:r>
    </w:p>
    <w:p w14:paraId="1C7AC9A9">
      <w:pPr>
        <w:pStyle w:val="31"/>
        <w:numPr>
          <w:ilvl w:val="0"/>
          <w:numId w:val="2"/>
        </w:numPr>
        <w:spacing w:line="36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点击“开始校验”按钮。</w:t>
      </w:r>
    </w:p>
    <w:p w14:paraId="763B66D8">
      <w:pPr>
        <w:pStyle w:val="31"/>
        <w:numPr>
          <w:ilvl w:val="0"/>
          <w:numId w:val="2"/>
        </w:numPr>
        <w:spacing w:line="360" w:lineRule="auto"/>
        <w:ind w:firstLineChars="0"/>
        <w:rPr>
          <w:rFonts w:ascii="微软雅黑" w:hAnsi="微软雅黑" w:eastAsia="微软雅黑" w:cs="微软雅黑"/>
          <w:sz w:val="21"/>
          <w:szCs w:val="21"/>
        </w:rPr>
      </w:pPr>
      <w:r>
        <w:rPr>
          <w:rFonts w:hint="eastAsia" w:ascii="微软雅黑" w:hAnsi="微软雅黑" w:eastAsia="微软雅黑" w:cs="微软雅黑"/>
          <w:sz w:val="21"/>
          <w:szCs w:val="21"/>
        </w:rPr>
        <w:t>如果校验结果正确，则显示下列信息：</w:t>
      </w:r>
    </w:p>
    <w:p w14:paraId="04F75DC9">
      <w:pPr>
        <w:spacing w:line="360" w:lineRule="auto"/>
        <w:rPr>
          <w:rFonts w:ascii="微软雅黑" w:hAnsi="微软雅黑" w:eastAsia="微软雅黑" w:cs="微软雅黑"/>
        </w:rPr>
      </w:pPr>
      <w:r>
        <w:rPr>
          <w:rFonts w:hint="eastAsia" w:ascii="微软雅黑" w:hAnsi="微软雅黑" w:eastAsia="微软雅黑" w:cs="微软雅黑"/>
        </w:rPr>
        <w:drawing>
          <wp:inline distT="0" distB="0" distL="114300" distR="114300">
            <wp:extent cx="5269865" cy="3689350"/>
            <wp:effectExtent l="0" t="0" r="6985" b="6350"/>
            <wp:docPr id="262" name="图片 26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图片1"/>
                    <pic:cNvPicPr>
                      <a:picLocks noChangeAspect="1"/>
                    </pic:cNvPicPr>
                  </pic:nvPicPr>
                  <pic:blipFill>
                    <a:blip r:embed="rId40"/>
                    <a:stretch>
                      <a:fillRect/>
                    </a:stretch>
                  </pic:blipFill>
                  <pic:spPr>
                    <a:xfrm>
                      <a:off x="0" y="0"/>
                      <a:ext cx="5269865" cy="3689350"/>
                    </a:xfrm>
                    <a:prstGeom prst="rect">
                      <a:avLst/>
                    </a:prstGeom>
                  </pic:spPr>
                </pic:pic>
              </a:graphicData>
            </a:graphic>
          </wp:inline>
        </w:drawing>
      </w:r>
    </w:p>
    <w:p w14:paraId="11B16FAB">
      <w:pPr>
        <w:pStyle w:val="31"/>
        <w:numPr>
          <w:ilvl w:val="0"/>
          <w:numId w:val="12"/>
        </w:numPr>
        <w:spacing w:line="360" w:lineRule="auto"/>
        <w:ind w:firstLineChars="0"/>
        <w:rPr>
          <w:rFonts w:ascii="微软雅黑" w:hAnsi="微软雅黑" w:eastAsia="微软雅黑" w:cs="微软雅黑"/>
        </w:rPr>
      </w:pPr>
      <w:r>
        <w:rPr>
          <w:rFonts w:hint="eastAsia" w:ascii="微软雅黑" w:hAnsi="微软雅黑" w:eastAsia="微软雅黑" w:cs="微软雅黑"/>
        </w:rPr>
        <w:t>如果校验结果不正确，则显示下列信息：</w:t>
      </w:r>
    </w:p>
    <w:p w14:paraId="2A4F1324">
      <w:pPr>
        <w:spacing w:line="360" w:lineRule="auto"/>
        <w:jc w:val="center"/>
        <w:rPr>
          <w:rFonts w:ascii="微软雅黑" w:hAnsi="微软雅黑" w:eastAsia="微软雅黑" w:cs="微软雅黑"/>
        </w:rPr>
      </w:pPr>
      <w:r>
        <w:rPr>
          <w:rFonts w:hint="eastAsia" w:ascii="微软雅黑" w:hAnsi="微软雅黑" w:eastAsia="微软雅黑" w:cs="微软雅黑"/>
        </w:rPr>
        <w:drawing>
          <wp:inline distT="0" distB="0" distL="0" distR="0">
            <wp:extent cx="3141980" cy="1689100"/>
            <wp:effectExtent l="0" t="0" r="1270" b="635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42"/>
                    <a:stretch>
                      <a:fillRect/>
                    </a:stretch>
                  </pic:blipFill>
                  <pic:spPr>
                    <a:xfrm>
                      <a:off x="0" y="0"/>
                      <a:ext cx="3147099" cy="1692236"/>
                    </a:xfrm>
                    <a:prstGeom prst="rect">
                      <a:avLst/>
                    </a:prstGeom>
                  </pic:spPr>
                </pic:pic>
              </a:graphicData>
            </a:graphic>
          </wp:inline>
        </w:drawing>
      </w:r>
    </w:p>
    <w:p w14:paraId="3FE3D855">
      <w:pPr>
        <w:spacing w:line="360" w:lineRule="auto"/>
        <w:rPr>
          <w:sz w:val="21"/>
          <w:szCs w:val="21"/>
        </w:rPr>
      </w:pPr>
    </w:p>
    <w:sectPr>
      <w:headerReference r:id="rId5" w:type="default"/>
      <w:footerReference r:id="rId6"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D7C91">
    <w:pPr>
      <w:pStyle w:val="11"/>
    </w:pPr>
  </w:p>
  <w:p w14:paraId="5FFA9951">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1951F">
    <w:pPr>
      <w:pStyle w:val="11"/>
      <w:jc w:val="center"/>
    </w:pPr>
    <w:r>
      <w:fldChar w:fldCharType="begin"/>
    </w:r>
    <w:r>
      <w:instrText xml:space="preserve">PAGE   \* MERGEFORMAT</w:instrText>
    </w:r>
    <w:r>
      <w:fldChar w:fldCharType="separate"/>
    </w:r>
    <w:r>
      <w:rPr>
        <w:lang w:val="zh-CN"/>
      </w:rPr>
      <w:t>1</w:t>
    </w:r>
    <w:r>
      <w:rPr>
        <w:lang w:val="zh-CN"/>
      </w:rPr>
      <w:fldChar w:fldCharType="end"/>
    </w:r>
  </w:p>
  <w:p w14:paraId="00F1C9CA">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1B58B">
    <w:pPr>
      <w:pStyle w:val="1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091AB">
    <w:pPr>
      <w:pStyle w:val="12"/>
      <w:rPr>
        <w:rFonts w:hint="eastAsia"/>
      </w:rPr>
    </w:pPr>
    <w:r>
      <w:rPr>
        <w:rFonts w:hint="eastAsia"/>
        <w:lang w:val="en-US" w:eastAsia="zh-CN"/>
      </w:rPr>
      <w:t>城乡居民社保费电子税务局</w:t>
    </w:r>
    <w:r>
      <w:rPr>
        <w:rFonts w:hint="eastAsia"/>
      </w:rPr>
      <w:t>操作手册（pc版）</w:t>
    </w:r>
  </w:p>
  <w:p w14:paraId="6809CB44">
    <w:pPr>
      <w:jc w:val="center"/>
      <w:rPr>
        <w:rFonts w:ascii="微软雅黑" w:hAnsi="微软雅黑" w:eastAsia="微软雅黑"/>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E08B3C"/>
    <w:multiLevelType w:val="singleLevel"/>
    <w:tmpl w:val="BCE08B3C"/>
    <w:lvl w:ilvl="0" w:tentative="0">
      <w:start w:val="1"/>
      <w:numFmt w:val="bullet"/>
      <w:lvlText w:val=""/>
      <w:lvlJc w:val="left"/>
      <w:pPr>
        <w:ind w:left="420" w:hanging="420"/>
      </w:pPr>
      <w:rPr>
        <w:rFonts w:hint="default" w:ascii="Wingdings" w:hAnsi="Wingdings"/>
      </w:rPr>
    </w:lvl>
  </w:abstractNum>
  <w:abstractNum w:abstractNumId="1">
    <w:nsid w:val="FDF3A7E6"/>
    <w:multiLevelType w:val="singleLevel"/>
    <w:tmpl w:val="FDF3A7E6"/>
    <w:lvl w:ilvl="0" w:tentative="0">
      <w:start w:val="1"/>
      <w:numFmt w:val="bullet"/>
      <w:lvlText w:val=""/>
      <w:lvlJc w:val="left"/>
      <w:pPr>
        <w:ind w:left="420" w:hanging="420"/>
      </w:pPr>
      <w:rPr>
        <w:rFonts w:hint="default" w:ascii="Wingdings" w:hAnsi="Wingdings"/>
      </w:rPr>
    </w:lvl>
  </w:abstractNum>
  <w:abstractNum w:abstractNumId="2">
    <w:nsid w:val="14C33481"/>
    <w:multiLevelType w:val="multilevel"/>
    <w:tmpl w:val="14C33481"/>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1E54D9A6"/>
    <w:multiLevelType w:val="singleLevel"/>
    <w:tmpl w:val="1E54D9A6"/>
    <w:lvl w:ilvl="0" w:tentative="0">
      <w:start w:val="1"/>
      <w:numFmt w:val="bullet"/>
      <w:lvlText w:val=""/>
      <w:lvlJc w:val="left"/>
      <w:pPr>
        <w:ind w:left="420" w:hanging="420"/>
      </w:pPr>
      <w:rPr>
        <w:rFonts w:hint="default" w:ascii="Wingdings" w:hAnsi="Wingdings"/>
      </w:rPr>
    </w:lvl>
  </w:abstractNum>
  <w:abstractNum w:abstractNumId="4">
    <w:nsid w:val="1F130884"/>
    <w:multiLevelType w:val="singleLevel"/>
    <w:tmpl w:val="1F130884"/>
    <w:lvl w:ilvl="0" w:tentative="0">
      <w:start w:val="1"/>
      <w:numFmt w:val="bullet"/>
      <w:lvlText w:val=""/>
      <w:lvlJc w:val="left"/>
      <w:pPr>
        <w:ind w:left="420" w:hanging="420"/>
      </w:pPr>
      <w:rPr>
        <w:rFonts w:hint="default" w:ascii="Wingdings" w:hAnsi="Wingdings"/>
      </w:rPr>
    </w:lvl>
  </w:abstractNum>
  <w:abstractNum w:abstractNumId="5">
    <w:nsid w:val="21351E11"/>
    <w:multiLevelType w:val="multilevel"/>
    <w:tmpl w:val="21351E1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3589058C"/>
    <w:multiLevelType w:val="multilevel"/>
    <w:tmpl w:val="3589058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3EBA33C4"/>
    <w:multiLevelType w:val="multilevel"/>
    <w:tmpl w:val="3EBA33C4"/>
    <w:lvl w:ilvl="0" w:tentative="0">
      <w:start w:val="1"/>
      <w:numFmt w:val="bullet"/>
      <w:lvlText w:val=""/>
      <w:lvlJc w:val="left"/>
      <w:pPr>
        <w:ind w:left="1680" w:hanging="420"/>
      </w:pPr>
      <w:rPr>
        <w:rFonts w:hint="default" w:ascii="Wingdings" w:hAnsi="Wingdings"/>
      </w:rPr>
    </w:lvl>
    <w:lvl w:ilvl="1" w:tentative="0">
      <w:start w:val="1"/>
      <w:numFmt w:val="bullet"/>
      <w:lvlText w:val=""/>
      <w:lvlJc w:val="left"/>
      <w:pPr>
        <w:ind w:left="2100" w:hanging="420"/>
      </w:pPr>
      <w:rPr>
        <w:rFonts w:hint="default" w:ascii="Wingdings" w:hAnsi="Wingdings"/>
      </w:rPr>
    </w:lvl>
    <w:lvl w:ilvl="2" w:tentative="0">
      <w:start w:val="1"/>
      <w:numFmt w:val="bullet"/>
      <w:lvlText w:val=""/>
      <w:lvlJc w:val="left"/>
      <w:pPr>
        <w:ind w:left="2520" w:hanging="420"/>
      </w:pPr>
      <w:rPr>
        <w:rFonts w:hint="default" w:ascii="Wingdings" w:hAnsi="Wingdings"/>
      </w:rPr>
    </w:lvl>
    <w:lvl w:ilvl="3" w:tentative="0">
      <w:start w:val="1"/>
      <w:numFmt w:val="bullet"/>
      <w:lvlText w:val=""/>
      <w:lvlJc w:val="left"/>
      <w:pPr>
        <w:ind w:left="2940" w:hanging="420"/>
      </w:pPr>
      <w:rPr>
        <w:rFonts w:hint="default" w:ascii="Wingdings" w:hAnsi="Wingdings"/>
      </w:rPr>
    </w:lvl>
    <w:lvl w:ilvl="4" w:tentative="0">
      <w:start w:val="1"/>
      <w:numFmt w:val="bullet"/>
      <w:lvlText w:val=""/>
      <w:lvlJc w:val="left"/>
      <w:pPr>
        <w:ind w:left="3360" w:hanging="420"/>
      </w:pPr>
      <w:rPr>
        <w:rFonts w:hint="default" w:ascii="Wingdings" w:hAnsi="Wingdings"/>
      </w:rPr>
    </w:lvl>
    <w:lvl w:ilvl="5" w:tentative="0">
      <w:start w:val="1"/>
      <w:numFmt w:val="bullet"/>
      <w:lvlText w:val=""/>
      <w:lvlJc w:val="left"/>
      <w:pPr>
        <w:ind w:left="3780" w:hanging="420"/>
      </w:pPr>
      <w:rPr>
        <w:rFonts w:hint="default" w:ascii="Wingdings" w:hAnsi="Wingdings"/>
      </w:rPr>
    </w:lvl>
    <w:lvl w:ilvl="6" w:tentative="0">
      <w:start w:val="1"/>
      <w:numFmt w:val="bullet"/>
      <w:lvlText w:val=""/>
      <w:lvlJc w:val="left"/>
      <w:pPr>
        <w:ind w:left="4200" w:hanging="420"/>
      </w:pPr>
      <w:rPr>
        <w:rFonts w:hint="default" w:ascii="Wingdings" w:hAnsi="Wingdings"/>
      </w:rPr>
    </w:lvl>
    <w:lvl w:ilvl="7" w:tentative="0">
      <w:start w:val="1"/>
      <w:numFmt w:val="bullet"/>
      <w:lvlText w:val=""/>
      <w:lvlJc w:val="left"/>
      <w:pPr>
        <w:ind w:left="4620" w:hanging="420"/>
      </w:pPr>
      <w:rPr>
        <w:rFonts w:hint="default" w:ascii="Wingdings" w:hAnsi="Wingdings"/>
      </w:rPr>
    </w:lvl>
    <w:lvl w:ilvl="8" w:tentative="0">
      <w:start w:val="1"/>
      <w:numFmt w:val="bullet"/>
      <w:lvlText w:val=""/>
      <w:lvlJc w:val="left"/>
      <w:pPr>
        <w:ind w:left="5040" w:hanging="420"/>
      </w:pPr>
      <w:rPr>
        <w:rFonts w:hint="default" w:ascii="Wingdings" w:hAnsi="Wingdings"/>
      </w:rPr>
    </w:lvl>
  </w:abstractNum>
  <w:abstractNum w:abstractNumId="8">
    <w:nsid w:val="4BC17A5A"/>
    <w:multiLevelType w:val="multilevel"/>
    <w:tmpl w:val="4BC17A5A"/>
    <w:lvl w:ilvl="0" w:tentative="0">
      <w:start w:val="1"/>
      <w:numFmt w:val="decimalEnclosedCircle"/>
      <w:pStyle w:val="13"/>
      <w:lvlText w:val="%1"/>
      <w:lvlJc w:val="left"/>
      <w:pPr>
        <w:ind w:left="1170" w:hanging="360"/>
      </w:pPr>
      <w:rPr>
        <w:rFonts w:hint="default" w:cs="Times New Roman"/>
        <w:b w:val="0"/>
      </w:rPr>
    </w:lvl>
    <w:lvl w:ilvl="1" w:tentative="0">
      <w:start w:val="1"/>
      <w:numFmt w:val="lowerLetter"/>
      <w:lvlText w:val="%2."/>
      <w:lvlJc w:val="left"/>
      <w:pPr>
        <w:ind w:left="1890" w:hanging="360"/>
      </w:pPr>
      <w:rPr>
        <w:rFonts w:cs="Times New Roman"/>
      </w:rPr>
    </w:lvl>
    <w:lvl w:ilvl="2" w:tentative="0">
      <w:start w:val="1"/>
      <w:numFmt w:val="lowerRoman"/>
      <w:lvlText w:val="%3."/>
      <w:lvlJc w:val="right"/>
      <w:pPr>
        <w:ind w:left="2610" w:hanging="180"/>
      </w:pPr>
      <w:rPr>
        <w:rFonts w:cs="Times New Roman"/>
      </w:rPr>
    </w:lvl>
    <w:lvl w:ilvl="3" w:tentative="0">
      <w:start w:val="1"/>
      <w:numFmt w:val="decimal"/>
      <w:lvlText w:val="%4."/>
      <w:lvlJc w:val="left"/>
      <w:pPr>
        <w:ind w:left="3330" w:hanging="360"/>
      </w:pPr>
      <w:rPr>
        <w:rFonts w:cs="Times New Roman"/>
      </w:rPr>
    </w:lvl>
    <w:lvl w:ilvl="4" w:tentative="0">
      <w:start w:val="1"/>
      <w:numFmt w:val="lowerLetter"/>
      <w:lvlText w:val="%5."/>
      <w:lvlJc w:val="left"/>
      <w:pPr>
        <w:ind w:left="4050" w:hanging="360"/>
      </w:pPr>
      <w:rPr>
        <w:rFonts w:cs="Times New Roman"/>
      </w:rPr>
    </w:lvl>
    <w:lvl w:ilvl="5" w:tentative="0">
      <w:start w:val="1"/>
      <w:numFmt w:val="lowerRoman"/>
      <w:lvlText w:val="%6."/>
      <w:lvlJc w:val="right"/>
      <w:pPr>
        <w:ind w:left="4770" w:hanging="180"/>
      </w:pPr>
      <w:rPr>
        <w:rFonts w:cs="Times New Roman"/>
      </w:rPr>
    </w:lvl>
    <w:lvl w:ilvl="6" w:tentative="0">
      <w:start w:val="1"/>
      <w:numFmt w:val="decimal"/>
      <w:lvlText w:val="%7."/>
      <w:lvlJc w:val="left"/>
      <w:pPr>
        <w:ind w:left="5490" w:hanging="360"/>
      </w:pPr>
      <w:rPr>
        <w:rFonts w:cs="Times New Roman"/>
      </w:rPr>
    </w:lvl>
    <w:lvl w:ilvl="7" w:tentative="0">
      <w:start w:val="1"/>
      <w:numFmt w:val="lowerLetter"/>
      <w:lvlText w:val="%8."/>
      <w:lvlJc w:val="left"/>
      <w:pPr>
        <w:ind w:left="6210" w:hanging="360"/>
      </w:pPr>
      <w:rPr>
        <w:rFonts w:cs="Times New Roman"/>
      </w:rPr>
    </w:lvl>
    <w:lvl w:ilvl="8" w:tentative="0">
      <w:start w:val="1"/>
      <w:numFmt w:val="lowerRoman"/>
      <w:lvlText w:val="%9."/>
      <w:lvlJc w:val="right"/>
      <w:pPr>
        <w:ind w:left="6930" w:hanging="180"/>
      </w:pPr>
      <w:rPr>
        <w:rFonts w:cs="Times New Roman"/>
      </w:rPr>
    </w:lvl>
  </w:abstractNum>
  <w:abstractNum w:abstractNumId="9">
    <w:nsid w:val="6ACE3718"/>
    <w:multiLevelType w:val="multilevel"/>
    <w:tmpl w:val="6ACE3718"/>
    <w:lvl w:ilvl="0" w:tentative="0">
      <w:start w:val="1"/>
      <w:numFmt w:val="bullet"/>
      <w:lvlText w:val=""/>
      <w:lvlJc w:val="left"/>
      <w:pPr>
        <w:ind w:left="147" w:hanging="147"/>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0">
    <w:nsid w:val="6C2DDB51"/>
    <w:multiLevelType w:val="singleLevel"/>
    <w:tmpl w:val="6C2DDB51"/>
    <w:lvl w:ilvl="0" w:tentative="0">
      <w:start w:val="1"/>
      <w:numFmt w:val="bullet"/>
      <w:lvlText w:val=""/>
      <w:lvlJc w:val="left"/>
      <w:pPr>
        <w:ind w:left="420" w:hanging="420"/>
      </w:pPr>
      <w:rPr>
        <w:rFonts w:hint="default" w:ascii="Wingdings" w:hAnsi="Wingdings"/>
      </w:rPr>
    </w:lvl>
  </w:abstractNum>
  <w:abstractNum w:abstractNumId="11">
    <w:nsid w:val="7C2F65BF"/>
    <w:multiLevelType w:val="multilevel"/>
    <w:tmpl w:val="7C2F65B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8"/>
  </w:num>
  <w:num w:numId="2">
    <w:abstractNumId w:val="2"/>
  </w:num>
  <w:num w:numId="3">
    <w:abstractNumId w:val="0"/>
  </w:num>
  <w:num w:numId="4">
    <w:abstractNumId w:val="4"/>
  </w:num>
  <w:num w:numId="5">
    <w:abstractNumId w:val="1"/>
  </w:num>
  <w:num w:numId="6">
    <w:abstractNumId w:val="10"/>
  </w:num>
  <w:num w:numId="7">
    <w:abstractNumId w:val="11"/>
  </w:num>
  <w:num w:numId="8">
    <w:abstractNumId w:val="9"/>
  </w:num>
  <w:num w:numId="9">
    <w:abstractNumId w:val="6"/>
  </w:num>
  <w:num w:numId="10">
    <w:abstractNumId w:val="5"/>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465"/>
    <w:rsid w:val="000022F0"/>
    <w:rsid w:val="0000737C"/>
    <w:rsid w:val="00013630"/>
    <w:rsid w:val="00020484"/>
    <w:rsid w:val="000332EB"/>
    <w:rsid w:val="00035484"/>
    <w:rsid w:val="00036E62"/>
    <w:rsid w:val="000454FF"/>
    <w:rsid w:val="000574C7"/>
    <w:rsid w:val="00061163"/>
    <w:rsid w:val="00062F37"/>
    <w:rsid w:val="000637F5"/>
    <w:rsid w:val="00074125"/>
    <w:rsid w:val="00077EE3"/>
    <w:rsid w:val="00085040"/>
    <w:rsid w:val="00085DD4"/>
    <w:rsid w:val="00090011"/>
    <w:rsid w:val="0009171C"/>
    <w:rsid w:val="0009252C"/>
    <w:rsid w:val="000934C5"/>
    <w:rsid w:val="000A467F"/>
    <w:rsid w:val="000B5BDC"/>
    <w:rsid w:val="000B747E"/>
    <w:rsid w:val="000C29F5"/>
    <w:rsid w:val="000D20D4"/>
    <w:rsid w:val="000D34A2"/>
    <w:rsid w:val="000D53F6"/>
    <w:rsid w:val="000E16E5"/>
    <w:rsid w:val="000F261B"/>
    <w:rsid w:val="000F4FCC"/>
    <w:rsid w:val="00100A26"/>
    <w:rsid w:val="0010127C"/>
    <w:rsid w:val="001054AC"/>
    <w:rsid w:val="001127B7"/>
    <w:rsid w:val="00117737"/>
    <w:rsid w:val="00123298"/>
    <w:rsid w:val="001241A0"/>
    <w:rsid w:val="0012791E"/>
    <w:rsid w:val="001322ED"/>
    <w:rsid w:val="001377CF"/>
    <w:rsid w:val="00152098"/>
    <w:rsid w:val="0015466B"/>
    <w:rsid w:val="00165D1D"/>
    <w:rsid w:val="001666A8"/>
    <w:rsid w:val="00180227"/>
    <w:rsid w:val="00180BA1"/>
    <w:rsid w:val="00181D4B"/>
    <w:rsid w:val="0019464F"/>
    <w:rsid w:val="001B3E2D"/>
    <w:rsid w:val="001B6BED"/>
    <w:rsid w:val="001C0564"/>
    <w:rsid w:val="001C12BA"/>
    <w:rsid w:val="001C2F79"/>
    <w:rsid w:val="001D0420"/>
    <w:rsid w:val="001D1C3C"/>
    <w:rsid w:val="001D361F"/>
    <w:rsid w:val="001D60C5"/>
    <w:rsid w:val="001E042C"/>
    <w:rsid w:val="001E0BF4"/>
    <w:rsid w:val="001E154F"/>
    <w:rsid w:val="001E7465"/>
    <w:rsid w:val="001F6BD6"/>
    <w:rsid w:val="00201B09"/>
    <w:rsid w:val="00201FDB"/>
    <w:rsid w:val="00202FC3"/>
    <w:rsid w:val="002103C7"/>
    <w:rsid w:val="00214855"/>
    <w:rsid w:val="0021615A"/>
    <w:rsid w:val="00217EDC"/>
    <w:rsid w:val="00220ABD"/>
    <w:rsid w:val="00224449"/>
    <w:rsid w:val="002247A3"/>
    <w:rsid w:val="00226CEC"/>
    <w:rsid w:val="00231E46"/>
    <w:rsid w:val="00244B55"/>
    <w:rsid w:val="0024738F"/>
    <w:rsid w:val="00247D93"/>
    <w:rsid w:val="0025102E"/>
    <w:rsid w:val="002544C3"/>
    <w:rsid w:val="00255E2F"/>
    <w:rsid w:val="002615A6"/>
    <w:rsid w:val="00261A14"/>
    <w:rsid w:val="00272094"/>
    <w:rsid w:val="0027382B"/>
    <w:rsid w:val="0027391C"/>
    <w:rsid w:val="002756B9"/>
    <w:rsid w:val="002910B7"/>
    <w:rsid w:val="00291263"/>
    <w:rsid w:val="002A5C71"/>
    <w:rsid w:val="002A6388"/>
    <w:rsid w:val="002B2F3B"/>
    <w:rsid w:val="002B314D"/>
    <w:rsid w:val="002C1058"/>
    <w:rsid w:val="002C17C6"/>
    <w:rsid w:val="002C1DE1"/>
    <w:rsid w:val="002C415B"/>
    <w:rsid w:val="002C5019"/>
    <w:rsid w:val="002C79BF"/>
    <w:rsid w:val="002D0CF3"/>
    <w:rsid w:val="002D2FB7"/>
    <w:rsid w:val="002D4275"/>
    <w:rsid w:val="002F32BA"/>
    <w:rsid w:val="002F62E9"/>
    <w:rsid w:val="002F66CA"/>
    <w:rsid w:val="002F6733"/>
    <w:rsid w:val="00300899"/>
    <w:rsid w:val="00300BAE"/>
    <w:rsid w:val="0030152D"/>
    <w:rsid w:val="003016CB"/>
    <w:rsid w:val="003074F2"/>
    <w:rsid w:val="0031057A"/>
    <w:rsid w:val="003139E6"/>
    <w:rsid w:val="00331E2E"/>
    <w:rsid w:val="00331E5B"/>
    <w:rsid w:val="00333939"/>
    <w:rsid w:val="00333F35"/>
    <w:rsid w:val="0034108B"/>
    <w:rsid w:val="0034196E"/>
    <w:rsid w:val="0034657E"/>
    <w:rsid w:val="00355833"/>
    <w:rsid w:val="00357555"/>
    <w:rsid w:val="0036367F"/>
    <w:rsid w:val="00364514"/>
    <w:rsid w:val="003651AF"/>
    <w:rsid w:val="00372A9E"/>
    <w:rsid w:val="00374112"/>
    <w:rsid w:val="0038041F"/>
    <w:rsid w:val="00384BFE"/>
    <w:rsid w:val="00386FD2"/>
    <w:rsid w:val="00395632"/>
    <w:rsid w:val="003A1103"/>
    <w:rsid w:val="003A6730"/>
    <w:rsid w:val="003B3D7B"/>
    <w:rsid w:val="003D00B4"/>
    <w:rsid w:val="003F10A9"/>
    <w:rsid w:val="003F1607"/>
    <w:rsid w:val="003F1B91"/>
    <w:rsid w:val="0040503A"/>
    <w:rsid w:val="00414650"/>
    <w:rsid w:val="00415413"/>
    <w:rsid w:val="0042419E"/>
    <w:rsid w:val="00430253"/>
    <w:rsid w:val="00431B03"/>
    <w:rsid w:val="00432911"/>
    <w:rsid w:val="00437B8D"/>
    <w:rsid w:val="0044109A"/>
    <w:rsid w:val="004419D6"/>
    <w:rsid w:val="004430D9"/>
    <w:rsid w:val="00446ADD"/>
    <w:rsid w:val="00447E9D"/>
    <w:rsid w:val="00451DE8"/>
    <w:rsid w:val="00467E14"/>
    <w:rsid w:val="0047010C"/>
    <w:rsid w:val="004705D7"/>
    <w:rsid w:val="00474874"/>
    <w:rsid w:val="00474A43"/>
    <w:rsid w:val="00486432"/>
    <w:rsid w:val="004933A1"/>
    <w:rsid w:val="00495C69"/>
    <w:rsid w:val="00497017"/>
    <w:rsid w:val="004A256E"/>
    <w:rsid w:val="004A6E50"/>
    <w:rsid w:val="004A72AB"/>
    <w:rsid w:val="004A7560"/>
    <w:rsid w:val="004B1A36"/>
    <w:rsid w:val="004B521C"/>
    <w:rsid w:val="004B748F"/>
    <w:rsid w:val="004D08D0"/>
    <w:rsid w:val="004D44A1"/>
    <w:rsid w:val="004D4AE2"/>
    <w:rsid w:val="004D566D"/>
    <w:rsid w:val="004D6ACE"/>
    <w:rsid w:val="004F196B"/>
    <w:rsid w:val="004F3410"/>
    <w:rsid w:val="004F3D2D"/>
    <w:rsid w:val="0050378C"/>
    <w:rsid w:val="0050549C"/>
    <w:rsid w:val="00512297"/>
    <w:rsid w:val="005132D2"/>
    <w:rsid w:val="00515914"/>
    <w:rsid w:val="005162CC"/>
    <w:rsid w:val="0051794A"/>
    <w:rsid w:val="00523E5F"/>
    <w:rsid w:val="00524CB0"/>
    <w:rsid w:val="00525ECB"/>
    <w:rsid w:val="0053288E"/>
    <w:rsid w:val="00540F11"/>
    <w:rsid w:val="00547326"/>
    <w:rsid w:val="00553003"/>
    <w:rsid w:val="00563779"/>
    <w:rsid w:val="005667C3"/>
    <w:rsid w:val="00576964"/>
    <w:rsid w:val="00577F3E"/>
    <w:rsid w:val="00582917"/>
    <w:rsid w:val="005840D2"/>
    <w:rsid w:val="00585E37"/>
    <w:rsid w:val="00587664"/>
    <w:rsid w:val="005A1336"/>
    <w:rsid w:val="005A185F"/>
    <w:rsid w:val="005A43D5"/>
    <w:rsid w:val="005A73F1"/>
    <w:rsid w:val="005B72EC"/>
    <w:rsid w:val="005C14CE"/>
    <w:rsid w:val="005E0D59"/>
    <w:rsid w:val="005E45A7"/>
    <w:rsid w:val="005F4C5F"/>
    <w:rsid w:val="005F5E8D"/>
    <w:rsid w:val="006045D7"/>
    <w:rsid w:val="00606191"/>
    <w:rsid w:val="00616CF8"/>
    <w:rsid w:val="006177A8"/>
    <w:rsid w:val="006219CB"/>
    <w:rsid w:val="0062219D"/>
    <w:rsid w:val="006225AD"/>
    <w:rsid w:val="00622810"/>
    <w:rsid w:val="006232EA"/>
    <w:rsid w:val="00623E31"/>
    <w:rsid w:val="006250AB"/>
    <w:rsid w:val="00627CCE"/>
    <w:rsid w:val="006363D1"/>
    <w:rsid w:val="00636B41"/>
    <w:rsid w:val="00641791"/>
    <w:rsid w:val="00646361"/>
    <w:rsid w:val="00650911"/>
    <w:rsid w:val="00653AF7"/>
    <w:rsid w:val="00657D19"/>
    <w:rsid w:val="006601D0"/>
    <w:rsid w:val="00663DFA"/>
    <w:rsid w:val="006677B9"/>
    <w:rsid w:val="00681CB1"/>
    <w:rsid w:val="00685F69"/>
    <w:rsid w:val="006907FE"/>
    <w:rsid w:val="006910F4"/>
    <w:rsid w:val="00691A9C"/>
    <w:rsid w:val="006B206A"/>
    <w:rsid w:val="006C49C3"/>
    <w:rsid w:val="006C7792"/>
    <w:rsid w:val="006D47EF"/>
    <w:rsid w:val="006E00D7"/>
    <w:rsid w:val="006E0116"/>
    <w:rsid w:val="006E2231"/>
    <w:rsid w:val="006E4C48"/>
    <w:rsid w:val="006F06D1"/>
    <w:rsid w:val="006F205D"/>
    <w:rsid w:val="006F597C"/>
    <w:rsid w:val="006F65D3"/>
    <w:rsid w:val="007113C8"/>
    <w:rsid w:val="00716AB2"/>
    <w:rsid w:val="00723E6B"/>
    <w:rsid w:val="00726C10"/>
    <w:rsid w:val="00731822"/>
    <w:rsid w:val="007320BA"/>
    <w:rsid w:val="00732A43"/>
    <w:rsid w:val="007479A2"/>
    <w:rsid w:val="00750B39"/>
    <w:rsid w:val="00751C11"/>
    <w:rsid w:val="00765380"/>
    <w:rsid w:val="00775E2F"/>
    <w:rsid w:val="00782183"/>
    <w:rsid w:val="00783D03"/>
    <w:rsid w:val="007840D8"/>
    <w:rsid w:val="007943B6"/>
    <w:rsid w:val="0079452E"/>
    <w:rsid w:val="0079793D"/>
    <w:rsid w:val="007979F1"/>
    <w:rsid w:val="007B1016"/>
    <w:rsid w:val="007C317F"/>
    <w:rsid w:val="007D466B"/>
    <w:rsid w:val="007D5336"/>
    <w:rsid w:val="007E5D2E"/>
    <w:rsid w:val="007F04B3"/>
    <w:rsid w:val="007F1664"/>
    <w:rsid w:val="007F189F"/>
    <w:rsid w:val="0080305B"/>
    <w:rsid w:val="0080429E"/>
    <w:rsid w:val="008042B8"/>
    <w:rsid w:val="0081019A"/>
    <w:rsid w:val="00822E1A"/>
    <w:rsid w:val="00831C84"/>
    <w:rsid w:val="0083434C"/>
    <w:rsid w:val="008351AB"/>
    <w:rsid w:val="0084007C"/>
    <w:rsid w:val="00847987"/>
    <w:rsid w:val="00854453"/>
    <w:rsid w:val="00854C7B"/>
    <w:rsid w:val="0085523B"/>
    <w:rsid w:val="008554A3"/>
    <w:rsid w:val="0086023D"/>
    <w:rsid w:val="008613CC"/>
    <w:rsid w:val="00864C50"/>
    <w:rsid w:val="00867DF1"/>
    <w:rsid w:val="00873C63"/>
    <w:rsid w:val="00875DD5"/>
    <w:rsid w:val="0087600C"/>
    <w:rsid w:val="00885402"/>
    <w:rsid w:val="00887DE3"/>
    <w:rsid w:val="00890AB4"/>
    <w:rsid w:val="008931E3"/>
    <w:rsid w:val="008A44F9"/>
    <w:rsid w:val="008A6E5A"/>
    <w:rsid w:val="008B1FF5"/>
    <w:rsid w:val="008B6D1F"/>
    <w:rsid w:val="008C0F23"/>
    <w:rsid w:val="008C1230"/>
    <w:rsid w:val="008C23F3"/>
    <w:rsid w:val="008D5B58"/>
    <w:rsid w:val="008D6DA6"/>
    <w:rsid w:val="008E0722"/>
    <w:rsid w:val="008E1C22"/>
    <w:rsid w:val="008E457D"/>
    <w:rsid w:val="008E7BB0"/>
    <w:rsid w:val="008F11EE"/>
    <w:rsid w:val="008F5DF3"/>
    <w:rsid w:val="008F6003"/>
    <w:rsid w:val="009032B7"/>
    <w:rsid w:val="00904EC6"/>
    <w:rsid w:val="009058BC"/>
    <w:rsid w:val="00906F20"/>
    <w:rsid w:val="009104E5"/>
    <w:rsid w:val="00914678"/>
    <w:rsid w:val="00920F65"/>
    <w:rsid w:val="00922080"/>
    <w:rsid w:val="009279AC"/>
    <w:rsid w:val="0093471E"/>
    <w:rsid w:val="00934D7F"/>
    <w:rsid w:val="00936E1C"/>
    <w:rsid w:val="00944381"/>
    <w:rsid w:val="00947A43"/>
    <w:rsid w:val="009503A4"/>
    <w:rsid w:val="00951689"/>
    <w:rsid w:val="00952236"/>
    <w:rsid w:val="0095290F"/>
    <w:rsid w:val="00954F5B"/>
    <w:rsid w:val="009645D7"/>
    <w:rsid w:val="0097026A"/>
    <w:rsid w:val="00970EF4"/>
    <w:rsid w:val="009710E9"/>
    <w:rsid w:val="00972A63"/>
    <w:rsid w:val="00984A5D"/>
    <w:rsid w:val="009868E3"/>
    <w:rsid w:val="00991843"/>
    <w:rsid w:val="009A1AAB"/>
    <w:rsid w:val="009A674C"/>
    <w:rsid w:val="009B362A"/>
    <w:rsid w:val="009B36E1"/>
    <w:rsid w:val="009B4CD7"/>
    <w:rsid w:val="009B55AF"/>
    <w:rsid w:val="009C0F92"/>
    <w:rsid w:val="009C2BCB"/>
    <w:rsid w:val="009C2F25"/>
    <w:rsid w:val="009D1891"/>
    <w:rsid w:val="009D31FC"/>
    <w:rsid w:val="009E2FF1"/>
    <w:rsid w:val="009E5AC9"/>
    <w:rsid w:val="009F2932"/>
    <w:rsid w:val="009F3C51"/>
    <w:rsid w:val="009F5CC7"/>
    <w:rsid w:val="00A06EE5"/>
    <w:rsid w:val="00A14D32"/>
    <w:rsid w:val="00A26076"/>
    <w:rsid w:val="00A2762A"/>
    <w:rsid w:val="00A335DB"/>
    <w:rsid w:val="00A35A45"/>
    <w:rsid w:val="00A40D5C"/>
    <w:rsid w:val="00A50791"/>
    <w:rsid w:val="00A529AB"/>
    <w:rsid w:val="00A56DE3"/>
    <w:rsid w:val="00A63E49"/>
    <w:rsid w:val="00A745FC"/>
    <w:rsid w:val="00A76D4B"/>
    <w:rsid w:val="00A87BBB"/>
    <w:rsid w:val="00A966ED"/>
    <w:rsid w:val="00AA116A"/>
    <w:rsid w:val="00AA24A7"/>
    <w:rsid w:val="00AA6913"/>
    <w:rsid w:val="00AA6A1C"/>
    <w:rsid w:val="00AB72F9"/>
    <w:rsid w:val="00AC4B1F"/>
    <w:rsid w:val="00AD477E"/>
    <w:rsid w:val="00AE27E8"/>
    <w:rsid w:val="00AE6575"/>
    <w:rsid w:val="00AF093E"/>
    <w:rsid w:val="00AF5850"/>
    <w:rsid w:val="00B0225E"/>
    <w:rsid w:val="00B05BEF"/>
    <w:rsid w:val="00B05EE3"/>
    <w:rsid w:val="00B142C8"/>
    <w:rsid w:val="00B17187"/>
    <w:rsid w:val="00B20152"/>
    <w:rsid w:val="00B26A8C"/>
    <w:rsid w:val="00B35AEC"/>
    <w:rsid w:val="00B35EBE"/>
    <w:rsid w:val="00B407EB"/>
    <w:rsid w:val="00B40EEC"/>
    <w:rsid w:val="00B417E2"/>
    <w:rsid w:val="00B41874"/>
    <w:rsid w:val="00B438C7"/>
    <w:rsid w:val="00B47884"/>
    <w:rsid w:val="00B54D28"/>
    <w:rsid w:val="00B56B19"/>
    <w:rsid w:val="00B64FEE"/>
    <w:rsid w:val="00B670BE"/>
    <w:rsid w:val="00B72F40"/>
    <w:rsid w:val="00B802DB"/>
    <w:rsid w:val="00B849E2"/>
    <w:rsid w:val="00B84DA5"/>
    <w:rsid w:val="00B87287"/>
    <w:rsid w:val="00B90395"/>
    <w:rsid w:val="00B91B87"/>
    <w:rsid w:val="00B9301A"/>
    <w:rsid w:val="00B94FEC"/>
    <w:rsid w:val="00BA3194"/>
    <w:rsid w:val="00BA416B"/>
    <w:rsid w:val="00BA4F1B"/>
    <w:rsid w:val="00BB27AF"/>
    <w:rsid w:val="00BB4C1F"/>
    <w:rsid w:val="00BC0E2E"/>
    <w:rsid w:val="00BC10B3"/>
    <w:rsid w:val="00BD0653"/>
    <w:rsid w:val="00BD731A"/>
    <w:rsid w:val="00BD7FCF"/>
    <w:rsid w:val="00BE0F7C"/>
    <w:rsid w:val="00BE5618"/>
    <w:rsid w:val="00BF2569"/>
    <w:rsid w:val="00BF2ED5"/>
    <w:rsid w:val="00BF64A1"/>
    <w:rsid w:val="00BF6EFD"/>
    <w:rsid w:val="00C01537"/>
    <w:rsid w:val="00C02AB3"/>
    <w:rsid w:val="00C036A2"/>
    <w:rsid w:val="00C03E4E"/>
    <w:rsid w:val="00C10307"/>
    <w:rsid w:val="00C10C95"/>
    <w:rsid w:val="00C12D81"/>
    <w:rsid w:val="00C208BC"/>
    <w:rsid w:val="00C20CBC"/>
    <w:rsid w:val="00C217FE"/>
    <w:rsid w:val="00C21E4B"/>
    <w:rsid w:val="00C22C46"/>
    <w:rsid w:val="00C2705F"/>
    <w:rsid w:val="00C30CBB"/>
    <w:rsid w:val="00C30F85"/>
    <w:rsid w:val="00C35F98"/>
    <w:rsid w:val="00C41BF9"/>
    <w:rsid w:val="00C42106"/>
    <w:rsid w:val="00C50BEA"/>
    <w:rsid w:val="00C76175"/>
    <w:rsid w:val="00C77B1F"/>
    <w:rsid w:val="00C82206"/>
    <w:rsid w:val="00C83D30"/>
    <w:rsid w:val="00C94BAB"/>
    <w:rsid w:val="00CA10E9"/>
    <w:rsid w:val="00CA186B"/>
    <w:rsid w:val="00CA2B06"/>
    <w:rsid w:val="00CA6376"/>
    <w:rsid w:val="00CB4452"/>
    <w:rsid w:val="00CB4590"/>
    <w:rsid w:val="00CB4CC8"/>
    <w:rsid w:val="00CC036A"/>
    <w:rsid w:val="00CD14EC"/>
    <w:rsid w:val="00CD2D73"/>
    <w:rsid w:val="00CD3D3F"/>
    <w:rsid w:val="00CD4241"/>
    <w:rsid w:val="00CD49CA"/>
    <w:rsid w:val="00CE2DE3"/>
    <w:rsid w:val="00CE571C"/>
    <w:rsid w:val="00CE6E09"/>
    <w:rsid w:val="00CE7F31"/>
    <w:rsid w:val="00CF5762"/>
    <w:rsid w:val="00CF7EEC"/>
    <w:rsid w:val="00D0370C"/>
    <w:rsid w:val="00D1312D"/>
    <w:rsid w:val="00D141A5"/>
    <w:rsid w:val="00D14706"/>
    <w:rsid w:val="00D20321"/>
    <w:rsid w:val="00D25DBC"/>
    <w:rsid w:val="00D300F0"/>
    <w:rsid w:val="00D405E6"/>
    <w:rsid w:val="00D43F04"/>
    <w:rsid w:val="00D46104"/>
    <w:rsid w:val="00D5382D"/>
    <w:rsid w:val="00D53E41"/>
    <w:rsid w:val="00D55388"/>
    <w:rsid w:val="00D55CE1"/>
    <w:rsid w:val="00D66E5D"/>
    <w:rsid w:val="00D67B72"/>
    <w:rsid w:val="00D7327C"/>
    <w:rsid w:val="00D8016B"/>
    <w:rsid w:val="00D80AA1"/>
    <w:rsid w:val="00D86B5B"/>
    <w:rsid w:val="00D918B0"/>
    <w:rsid w:val="00D91D3D"/>
    <w:rsid w:val="00D92E95"/>
    <w:rsid w:val="00D95DEC"/>
    <w:rsid w:val="00D97F3E"/>
    <w:rsid w:val="00DA2D89"/>
    <w:rsid w:val="00DA4A9C"/>
    <w:rsid w:val="00DA4CD2"/>
    <w:rsid w:val="00DA4FCF"/>
    <w:rsid w:val="00DA763E"/>
    <w:rsid w:val="00DA7AE2"/>
    <w:rsid w:val="00DB2CC2"/>
    <w:rsid w:val="00DC04DA"/>
    <w:rsid w:val="00DC4D28"/>
    <w:rsid w:val="00DC4D89"/>
    <w:rsid w:val="00DD0B65"/>
    <w:rsid w:val="00DD17CF"/>
    <w:rsid w:val="00DD1B9A"/>
    <w:rsid w:val="00DD5783"/>
    <w:rsid w:val="00DE1A69"/>
    <w:rsid w:val="00DE31F9"/>
    <w:rsid w:val="00DE5367"/>
    <w:rsid w:val="00DF0AD7"/>
    <w:rsid w:val="00DF0E87"/>
    <w:rsid w:val="00DF73D8"/>
    <w:rsid w:val="00DF79E9"/>
    <w:rsid w:val="00E04393"/>
    <w:rsid w:val="00E07E88"/>
    <w:rsid w:val="00E208CC"/>
    <w:rsid w:val="00E20A82"/>
    <w:rsid w:val="00E2518C"/>
    <w:rsid w:val="00E322A0"/>
    <w:rsid w:val="00E32A69"/>
    <w:rsid w:val="00E34E89"/>
    <w:rsid w:val="00E36551"/>
    <w:rsid w:val="00E43B7F"/>
    <w:rsid w:val="00E43E92"/>
    <w:rsid w:val="00E43ED3"/>
    <w:rsid w:val="00E45687"/>
    <w:rsid w:val="00E47328"/>
    <w:rsid w:val="00E62602"/>
    <w:rsid w:val="00E64AD3"/>
    <w:rsid w:val="00E64ED0"/>
    <w:rsid w:val="00E70C3B"/>
    <w:rsid w:val="00E918D1"/>
    <w:rsid w:val="00E94AF9"/>
    <w:rsid w:val="00E965AE"/>
    <w:rsid w:val="00EA654B"/>
    <w:rsid w:val="00EC70F1"/>
    <w:rsid w:val="00EC7590"/>
    <w:rsid w:val="00EC7BA4"/>
    <w:rsid w:val="00ED0481"/>
    <w:rsid w:val="00ED07AD"/>
    <w:rsid w:val="00ED3442"/>
    <w:rsid w:val="00ED5245"/>
    <w:rsid w:val="00EE10B5"/>
    <w:rsid w:val="00EE52DE"/>
    <w:rsid w:val="00F052AC"/>
    <w:rsid w:val="00F10DB7"/>
    <w:rsid w:val="00F13F80"/>
    <w:rsid w:val="00F25FF0"/>
    <w:rsid w:val="00F27814"/>
    <w:rsid w:val="00F344E5"/>
    <w:rsid w:val="00F40D50"/>
    <w:rsid w:val="00F414FD"/>
    <w:rsid w:val="00F41751"/>
    <w:rsid w:val="00F462F6"/>
    <w:rsid w:val="00F52138"/>
    <w:rsid w:val="00F52CC3"/>
    <w:rsid w:val="00F52D66"/>
    <w:rsid w:val="00F605B7"/>
    <w:rsid w:val="00F6370D"/>
    <w:rsid w:val="00F63D01"/>
    <w:rsid w:val="00F71915"/>
    <w:rsid w:val="00F77EC8"/>
    <w:rsid w:val="00F83D2A"/>
    <w:rsid w:val="00F85B69"/>
    <w:rsid w:val="00F90575"/>
    <w:rsid w:val="00FA668D"/>
    <w:rsid w:val="00FB29AA"/>
    <w:rsid w:val="00FB43F1"/>
    <w:rsid w:val="00FC051D"/>
    <w:rsid w:val="00FC1C7E"/>
    <w:rsid w:val="00FC1DA9"/>
    <w:rsid w:val="00FC3E47"/>
    <w:rsid w:val="00FC5E50"/>
    <w:rsid w:val="00FC6133"/>
    <w:rsid w:val="00FD451F"/>
    <w:rsid w:val="00FE69B8"/>
    <w:rsid w:val="010D313C"/>
    <w:rsid w:val="01165F1C"/>
    <w:rsid w:val="0146001F"/>
    <w:rsid w:val="02080495"/>
    <w:rsid w:val="02194705"/>
    <w:rsid w:val="023C447E"/>
    <w:rsid w:val="02942551"/>
    <w:rsid w:val="02C8063B"/>
    <w:rsid w:val="02E94C2E"/>
    <w:rsid w:val="03732810"/>
    <w:rsid w:val="03AE31A6"/>
    <w:rsid w:val="03FB1B10"/>
    <w:rsid w:val="03FC2242"/>
    <w:rsid w:val="041760A4"/>
    <w:rsid w:val="04641FF8"/>
    <w:rsid w:val="049C2887"/>
    <w:rsid w:val="049D393C"/>
    <w:rsid w:val="04F92047"/>
    <w:rsid w:val="05677411"/>
    <w:rsid w:val="05731943"/>
    <w:rsid w:val="05810E4E"/>
    <w:rsid w:val="059C0021"/>
    <w:rsid w:val="05A76AE9"/>
    <w:rsid w:val="064E7477"/>
    <w:rsid w:val="067C64D4"/>
    <w:rsid w:val="068A7595"/>
    <w:rsid w:val="07164BC2"/>
    <w:rsid w:val="07A54173"/>
    <w:rsid w:val="07E03FDC"/>
    <w:rsid w:val="082E7300"/>
    <w:rsid w:val="085263A6"/>
    <w:rsid w:val="092A79F5"/>
    <w:rsid w:val="09BD0A4D"/>
    <w:rsid w:val="09C46369"/>
    <w:rsid w:val="09CD66DF"/>
    <w:rsid w:val="0A315E99"/>
    <w:rsid w:val="0A8D56F0"/>
    <w:rsid w:val="0ADF26DC"/>
    <w:rsid w:val="0AE3228F"/>
    <w:rsid w:val="0AF55839"/>
    <w:rsid w:val="0AFF5AD5"/>
    <w:rsid w:val="0C3B193F"/>
    <w:rsid w:val="0CF25ACF"/>
    <w:rsid w:val="0D2F506C"/>
    <w:rsid w:val="0D6755EB"/>
    <w:rsid w:val="0DA43326"/>
    <w:rsid w:val="0DBC227A"/>
    <w:rsid w:val="0DFB445F"/>
    <w:rsid w:val="0E16079F"/>
    <w:rsid w:val="0F5B357B"/>
    <w:rsid w:val="10003DD0"/>
    <w:rsid w:val="104139B1"/>
    <w:rsid w:val="10B25DF3"/>
    <w:rsid w:val="10E4763C"/>
    <w:rsid w:val="11390CC1"/>
    <w:rsid w:val="121B37DC"/>
    <w:rsid w:val="12550D68"/>
    <w:rsid w:val="12692721"/>
    <w:rsid w:val="12F3572D"/>
    <w:rsid w:val="135E55CB"/>
    <w:rsid w:val="13952454"/>
    <w:rsid w:val="139D3A30"/>
    <w:rsid w:val="13AA2033"/>
    <w:rsid w:val="140B3786"/>
    <w:rsid w:val="144E53E0"/>
    <w:rsid w:val="14545DF4"/>
    <w:rsid w:val="14E976DC"/>
    <w:rsid w:val="14F24ABC"/>
    <w:rsid w:val="15164FDB"/>
    <w:rsid w:val="15455B57"/>
    <w:rsid w:val="15A44340"/>
    <w:rsid w:val="15BE6124"/>
    <w:rsid w:val="1610657D"/>
    <w:rsid w:val="16180046"/>
    <w:rsid w:val="16352627"/>
    <w:rsid w:val="164742E9"/>
    <w:rsid w:val="16993F25"/>
    <w:rsid w:val="16FC581C"/>
    <w:rsid w:val="172F4DB3"/>
    <w:rsid w:val="17571BA6"/>
    <w:rsid w:val="17783CBC"/>
    <w:rsid w:val="17917776"/>
    <w:rsid w:val="17AD114F"/>
    <w:rsid w:val="17D660B9"/>
    <w:rsid w:val="18257796"/>
    <w:rsid w:val="194A0774"/>
    <w:rsid w:val="19635BF7"/>
    <w:rsid w:val="19EF6FE8"/>
    <w:rsid w:val="19FC533C"/>
    <w:rsid w:val="1AE63F06"/>
    <w:rsid w:val="1B67276E"/>
    <w:rsid w:val="1B6E23A3"/>
    <w:rsid w:val="1BA56942"/>
    <w:rsid w:val="1C350743"/>
    <w:rsid w:val="1D446596"/>
    <w:rsid w:val="1D474EBD"/>
    <w:rsid w:val="1DA317A0"/>
    <w:rsid w:val="1E7B478C"/>
    <w:rsid w:val="1E8725EA"/>
    <w:rsid w:val="1F11798A"/>
    <w:rsid w:val="1F6B592B"/>
    <w:rsid w:val="1F9948AD"/>
    <w:rsid w:val="20261BC0"/>
    <w:rsid w:val="2065789E"/>
    <w:rsid w:val="206B715A"/>
    <w:rsid w:val="20EF0B15"/>
    <w:rsid w:val="21CC1621"/>
    <w:rsid w:val="221F399D"/>
    <w:rsid w:val="22FD13A3"/>
    <w:rsid w:val="23A33496"/>
    <w:rsid w:val="243B4F07"/>
    <w:rsid w:val="247C645A"/>
    <w:rsid w:val="25576EE1"/>
    <w:rsid w:val="256A2BEA"/>
    <w:rsid w:val="25A62692"/>
    <w:rsid w:val="265C4F15"/>
    <w:rsid w:val="26885C22"/>
    <w:rsid w:val="269C5434"/>
    <w:rsid w:val="26C41E9C"/>
    <w:rsid w:val="279052F2"/>
    <w:rsid w:val="27BC62B3"/>
    <w:rsid w:val="27CB4052"/>
    <w:rsid w:val="28136B6A"/>
    <w:rsid w:val="28976CB1"/>
    <w:rsid w:val="28987328"/>
    <w:rsid w:val="29654085"/>
    <w:rsid w:val="2A970471"/>
    <w:rsid w:val="2B5D2D9E"/>
    <w:rsid w:val="2BFB3A0D"/>
    <w:rsid w:val="2C296C4C"/>
    <w:rsid w:val="2CBB4794"/>
    <w:rsid w:val="2D36496D"/>
    <w:rsid w:val="2DA83A3C"/>
    <w:rsid w:val="2E5C3DFC"/>
    <w:rsid w:val="2EA06CEF"/>
    <w:rsid w:val="2EEB6437"/>
    <w:rsid w:val="2FAD40D0"/>
    <w:rsid w:val="307B44D3"/>
    <w:rsid w:val="307F799B"/>
    <w:rsid w:val="30A5742E"/>
    <w:rsid w:val="30DE3403"/>
    <w:rsid w:val="30EC0721"/>
    <w:rsid w:val="30F949ED"/>
    <w:rsid w:val="31C003CA"/>
    <w:rsid w:val="31F26BA2"/>
    <w:rsid w:val="32937B69"/>
    <w:rsid w:val="32CB1B7E"/>
    <w:rsid w:val="32EF0A4E"/>
    <w:rsid w:val="33646822"/>
    <w:rsid w:val="3379177F"/>
    <w:rsid w:val="33933FAE"/>
    <w:rsid w:val="33D530B4"/>
    <w:rsid w:val="33FA4FA1"/>
    <w:rsid w:val="34414D96"/>
    <w:rsid w:val="34616ABF"/>
    <w:rsid w:val="348222A5"/>
    <w:rsid w:val="34C22062"/>
    <w:rsid w:val="34FF2B2A"/>
    <w:rsid w:val="35FD0979"/>
    <w:rsid w:val="36094C2C"/>
    <w:rsid w:val="364B58C4"/>
    <w:rsid w:val="36702D80"/>
    <w:rsid w:val="36D6467A"/>
    <w:rsid w:val="36F96C3F"/>
    <w:rsid w:val="37002667"/>
    <w:rsid w:val="372D1218"/>
    <w:rsid w:val="37757441"/>
    <w:rsid w:val="37D803F0"/>
    <w:rsid w:val="396004BA"/>
    <w:rsid w:val="39BB56C0"/>
    <w:rsid w:val="3A096EEF"/>
    <w:rsid w:val="3A9F1351"/>
    <w:rsid w:val="3ABD3489"/>
    <w:rsid w:val="3B241970"/>
    <w:rsid w:val="3CAD5389"/>
    <w:rsid w:val="3D3616D5"/>
    <w:rsid w:val="3DD24776"/>
    <w:rsid w:val="3DD309FF"/>
    <w:rsid w:val="3E1F2081"/>
    <w:rsid w:val="3EB262B0"/>
    <w:rsid w:val="3EF75976"/>
    <w:rsid w:val="3F382DA0"/>
    <w:rsid w:val="3F8878BD"/>
    <w:rsid w:val="3FEF07D9"/>
    <w:rsid w:val="3FF76FE6"/>
    <w:rsid w:val="406E3C96"/>
    <w:rsid w:val="40BE2335"/>
    <w:rsid w:val="40D848B4"/>
    <w:rsid w:val="41371653"/>
    <w:rsid w:val="42040864"/>
    <w:rsid w:val="423E04F3"/>
    <w:rsid w:val="42606102"/>
    <w:rsid w:val="42844933"/>
    <w:rsid w:val="42951117"/>
    <w:rsid w:val="42A67EE1"/>
    <w:rsid w:val="42F56B29"/>
    <w:rsid w:val="43056A45"/>
    <w:rsid w:val="435D3207"/>
    <w:rsid w:val="43E6188D"/>
    <w:rsid w:val="4487117A"/>
    <w:rsid w:val="44A55C12"/>
    <w:rsid w:val="44DD77C4"/>
    <w:rsid w:val="45014B29"/>
    <w:rsid w:val="45EC690C"/>
    <w:rsid w:val="46222C38"/>
    <w:rsid w:val="46BB797B"/>
    <w:rsid w:val="46BE61F6"/>
    <w:rsid w:val="474A3305"/>
    <w:rsid w:val="477D57F5"/>
    <w:rsid w:val="48032BDB"/>
    <w:rsid w:val="48105827"/>
    <w:rsid w:val="484021DA"/>
    <w:rsid w:val="48477D9E"/>
    <w:rsid w:val="489E5F76"/>
    <w:rsid w:val="496B6742"/>
    <w:rsid w:val="498911D1"/>
    <w:rsid w:val="498B48C0"/>
    <w:rsid w:val="49C55AEB"/>
    <w:rsid w:val="4A0D3EF7"/>
    <w:rsid w:val="4A0E4F75"/>
    <w:rsid w:val="4A5C37C6"/>
    <w:rsid w:val="4B3E3C9A"/>
    <w:rsid w:val="4BA52777"/>
    <w:rsid w:val="4BD55065"/>
    <w:rsid w:val="4C0D0E1D"/>
    <w:rsid w:val="4C371409"/>
    <w:rsid w:val="4C715CB7"/>
    <w:rsid w:val="4C8C6925"/>
    <w:rsid w:val="4C9E67F0"/>
    <w:rsid w:val="4CB10BCC"/>
    <w:rsid w:val="4D4D2B71"/>
    <w:rsid w:val="4DB6077A"/>
    <w:rsid w:val="4DEA64AF"/>
    <w:rsid w:val="4E8048D8"/>
    <w:rsid w:val="4EFB2D57"/>
    <w:rsid w:val="4F3646D1"/>
    <w:rsid w:val="4F5166AD"/>
    <w:rsid w:val="4FB03D57"/>
    <w:rsid w:val="508049E6"/>
    <w:rsid w:val="5092084C"/>
    <w:rsid w:val="51AC69E5"/>
    <w:rsid w:val="524538FC"/>
    <w:rsid w:val="528E2D8A"/>
    <w:rsid w:val="53131CB6"/>
    <w:rsid w:val="53272A42"/>
    <w:rsid w:val="534F1D1C"/>
    <w:rsid w:val="53735AC6"/>
    <w:rsid w:val="53820CB1"/>
    <w:rsid w:val="53D4149B"/>
    <w:rsid w:val="54305996"/>
    <w:rsid w:val="550D095F"/>
    <w:rsid w:val="55645D23"/>
    <w:rsid w:val="55686304"/>
    <w:rsid w:val="55E67995"/>
    <w:rsid w:val="56016CE4"/>
    <w:rsid w:val="56E729BA"/>
    <w:rsid w:val="572E4FB6"/>
    <w:rsid w:val="576D69F8"/>
    <w:rsid w:val="57721C16"/>
    <w:rsid w:val="58B47E91"/>
    <w:rsid w:val="5A4E5072"/>
    <w:rsid w:val="5A5F64DE"/>
    <w:rsid w:val="5A7D0680"/>
    <w:rsid w:val="5A8A1C3F"/>
    <w:rsid w:val="5B8C0E45"/>
    <w:rsid w:val="5BF91475"/>
    <w:rsid w:val="5C0361B5"/>
    <w:rsid w:val="5C231A1B"/>
    <w:rsid w:val="5C310B5A"/>
    <w:rsid w:val="5C48236F"/>
    <w:rsid w:val="5C4B10EF"/>
    <w:rsid w:val="5C8D7E80"/>
    <w:rsid w:val="5E2A2A8F"/>
    <w:rsid w:val="5E3C08DB"/>
    <w:rsid w:val="5E7673C8"/>
    <w:rsid w:val="5EAB3DEB"/>
    <w:rsid w:val="5F4C1FFB"/>
    <w:rsid w:val="5FF5327D"/>
    <w:rsid w:val="602856BB"/>
    <w:rsid w:val="60932AB6"/>
    <w:rsid w:val="612023E1"/>
    <w:rsid w:val="613B3BB6"/>
    <w:rsid w:val="617D1451"/>
    <w:rsid w:val="621A268F"/>
    <w:rsid w:val="622422A7"/>
    <w:rsid w:val="623C4401"/>
    <w:rsid w:val="623E4B2E"/>
    <w:rsid w:val="62CA50E0"/>
    <w:rsid w:val="6386141F"/>
    <w:rsid w:val="639F5706"/>
    <w:rsid w:val="63E2655E"/>
    <w:rsid w:val="641460A9"/>
    <w:rsid w:val="6441747C"/>
    <w:rsid w:val="647958C6"/>
    <w:rsid w:val="6486017A"/>
    <w:rsid w:val="64872EC4"/>
    <w:rsid w:val="6500712A"/>
    <w:rsid w:val="651D399B"/>
    <w:rsid w:val="66993437"/>
    <w:rsid w:val="66CB3736"/>
    <w:rsid w:val="66F12685"/>
    <w:rsid w:val="66F44212"/>
    <w:rsid w:val="672941DD"/>
    <w:rsid w:val="672B4DCF"/>
    <w:rsid w:val="67DC2BD5"/>
    <w:rsid w:val="67E75BB6"/>
    <w:rsid w:val="68734694"/>
    <w:rsid w:val="68A81D16"/>
    <w:rsid w:val="68E20DE6"/>
    <w:rsid w:val="68FA719E"/>
    <w:rsid w:val="69CF613A"/>
    <w:rsid w:val="69E75208"/>
    <w:rsid w:val="6B061525"/>
    <w:rsid w:val="6B2E7575"/>
    <w:rsid w:val="6B6056F3"/>
    <w:rsid w:val="6BC63E85"/>
    <w:rsid w:val="6BF0018A"/>
    <w:rsid w:val="6C152DAB"/>
    <w:rsid w:val="6C2B47E9"/>
    <w:rsid w:val="6C5B5D09"/>
    <w:rsid w:val="6DA52073"/>
    <w:rsid w:val="6DAC106A"/>
    <w:rsid w:val="6DAF564D"/>
    <w:rsid w:val="6E8538CF"/>
    <w:rsid w:val="6E9C2690"/>
    <w:rsid w:val="6F5241CE"/>
    <w:rsid w:val="6F677A0C"/>
    <w:rsid w:val="6F7C7715"/>
    <w:rsid w:val="6F99714E"/>
    <w:rsid w:val="707A52FB"/>
    <w:rsid w:val="723F38CA"/>
    <w:rsid w:val="72682CA4"/>
    <w:rsid w:val="72BE1547"/>
    <w:rsid w:val="73A80EC3"/>
    <w:rsid w:val="740A1847"/>
    <w:rsid w:val="740C7A0A"/>
    <w:rsid w:val="741F35DB"/>
    <w:rsid w:val="74464D22"/>
    <w:rsid w:val="74515729"/>
    <w:rsid w:val="74A6585B"/>
    <w:rsid w:val="75103BD2"/>
    <w:rsid w:val="75263087"/>
    <w:rsid w:val="767974F5"/>
    <w:rsid w:val="774037C0"/>
    <w:rsid w:val="7868306D"/>
    <w:rsid w:val="79313FAD"/>
    <w:rsid w:val="79C77293"/>
    <w:rsid w:val="7A1E19EB"/>
    <w:rsid w:val="7A3734D0"/>
    <w:rsid w:val="7A577168"/>
    <w:rsid w:val="7A624D9C"/>
    <w:rsid w:val="7AB030D9"/>
    <w:rsid w:val="7AD31265"/>
    <w:rsid w:val="7BAB6DFC"/>
    <w:rsid w:val="7BCA709C"/>
    <w:rsid w:val="7C25014D"/>
    <w:rsid w:val="7C99644B"/>
    <w:rsid w:val="7DC34483"/>
    <w:rsid w:val="7E371C7B"/>
    <w:rsid w:val="7E5D1730"/>
    <w:rsid w:val="7E5F7E89"/>
    <w:rsid w:val="7EAF5A06"/>
    <w:rsid w:val="7F6B6B80"/>
    <w:rsid w:val="7FA367E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semiHidden="0" w:name="heading 4" w:locked="1"/>
    <w:lsdException w:qFormat="1"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99" w:semiHidden="0" w:name="Emphasis" w:locked="1"/>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2">
    <w:name w:val="heading 1"/>
    <w:basedOn w:val="1"/>
    <w:next w:val="1"/>
    <w:link w:val="2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26"/>
    <w:qFormat/>
    <w:uiPriority w:val="99"/>
    <w:pPr>
      <w:keepNext/>
      <w:keepLines/>
      <w:spacing w:before="260" w:after="260" w:line="416" w:lineRule="auto"/>
      <w:outlineLvl w:val="1"/>
    </w:pPr>
    <w:rPr>
      <w:rFonts w:ascii="Cambria" w:hAnsi="Cambria"/>
      <w:b/>
      <w:bCs/>
      <w:sz w:val="32"/>
      <w:szCs w:val="32"/>
    </w:rPr>
  </w:style>
  <w:style w:type="paragraph" w:styleId="4">
    <w:name w:val="heading 3"/>
    <w:basedOn w:val="1"/>
    <w:next w:val="1"/>
    <w:link w:val="27"/>
    <w:qFormat/>
    <w:uiPriority w:val="99"/>
    <w:pPr>
      <w:keepNext/>
      <w:keepLines/>
      <w:spacing w:before="260" w:after="260" w:line="416" w:lineRule="auto"/>
      <w:outlineLvl w:val="2"/>
    </w:pPr>
    <w:rPr>
      <w:b/>
      <w:bCs/>
      <w:sz w:val="32"/>
      <w:szCs w:val="32"/>
    </w:rPr>
  </w:style>
  <w:style w:type="paragraph" w:styleId="5">
    <w:name w:val="heading 4"/>
    <w:basedOn w:val="1"/>
    <w:next w:val="1"/>
    <w:link w:val="38"/>
    <w:unhideWhenUsed/>
    <w:qFormat/>
    <w:locked/>
    <w:uiPriority w:val="9"/>
    <w:pPr>
      <w:keepNext/>
      <w:keepLines/>
      <w:spacing w:before="280" w:after="290" w:line="376" w:lineRule="auto"/>
      <w:outlineLvl w:val="3"/>
    </w:pPr>
    <w:rPr>
      <w:rFonts w:ascii="Calibri Light" w:hAnsi="Calibri Light"/>
      <w:b/>
      <w:bCs/>
      <w:sz w:val="28"/>
      <w:szCs w:val="28"/>
    </w:rPr>
  </w:style>
  <w:style w:type="paragraph" w:styleId="6">
    <w:name w:val="heading 5"/>
    <w:basedOn w:val="1"/>
    <w:next w:val="1"/>
    <w:unhideWhenUsed/>
    <w:qFormat/>
    <w:locked/>
    <w:uiPriority w:val="0"/>
    <w:pPr>
      <w:keepNext/>
      <w:keepLines/>
      <w:spacing w:before="280" w:after="290" w:line="372" w:lineRule="auto"/>
      <w:outlineLvl w:val="4"/>
    </w:pPr>
    <w:rPr>
      <w:b/>
      <w:sz w:val="28"/>
    </w:rPr>
  </w:style>
  <w:style w:type="character" w:default="1" w:styleId="19">
    <w:name w:val="Default Paragraph Font"/>
    <w:semiHidden/>
    <w:unhideWhenUsed/>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7">
    <w:name w:val="Document Map"/>
    <w:basedOn w:val="1"/>
    <w:link w:val="37"/>
    <w:semiHidden/>
    <w:unhideWhenUsed/>
    <w:qFormat/>
    <w:uiPriority w:val="99"/>
    <w:rPr>
      <w:sz w:val="18"/>
      <w:szCs w:val="18"/>
    </w:rPr>
  </w:style>
  <w:style w:type="paragraph" w:styleId="8">
    <w:name w:val="annotation text"/>
    <w:basedOn w:val="1"/>
    <w:link w:val="33"/>
    <w:semiHidden/>
    <w:qFormat/>
    <w:uiPriority w:val="99"/>
  </w:style>
  <w:style w:type="paragraph" w:styleId="9">
    <w:name w:val="toc 3"/>
    <w:basedOn w:val="1"/>
    <w:next w:val="1"/>
    <w:qFormat/>
    <w:uiPriority w:val="39"/>
    <w:pPr>
      <w:tabs>
        <w:tab w:val="right" w:leader="dot" w:pos="8630"/>
      </w:tabs>
      <w:spacing w:line="288" w:lineRule="auto"/>
      <w:ind w:left="709"/>
    </w:pPr>
    <w:rPr>
      <w:i/>
      <w:iCs/>
      <w:sz w:val="20"/>
      <w:szCs w:val="20"/>
    </w:rPr>
  </w:style>
  <w:style w:type="paragraph" w:styleId="10">
    <w:name w:val="Balloon Text"/>
    <w:basedOn w:val="1"/>
    <w:link w:val="35"/>
    <w:semiHidden/>
    <w:qFormat/>
    <w:uiPriority w:val="99"/>
    <w:rPr>
      <w:sz w:val="2"/>
    </w:rPr>
  </w:style>
  <w:style w:type="paragraph" w:styleId="11">
    <w:name w:val="footer"/>
    <w:basedOn w:val="1"/>
    <w:link w:val="29"/>
    <w:qFormat/>
    <w:uiPriority w:val="99"/>
    <w:pPr>
      <w:tabs>
        <w:tab w:val="center" w:pos="4153"/>
        <w:tab w:val="right" w:pos="8306"/>
      </w:tabs>
      <w:snapToGrid w:val="0"/>
    </w:pPr>
    <w:rPr>
      <w:sz w:val="18"/>
      <w:szCs w:val="18"/>
    </w:rPr>
  </w:style>
  <w:style w:type="paragraph" w:styleId="12">
    <w:name w:val="header"/>
    <w:basedOn w:val="1"/>
    <w:link w:val="28"/>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numPr>
        <w:ilvl w:val="0"/>
        <w:numId w:val="1"/>
      </w:numPr>
      <w:spacing w:before="120" w:after="120"/>
    </w:pPr>
    <w:rPr>
      <w:b/>
      <w:bCs/>
      <w:caps/>
      <w:sz w:val="20"/>
      <w:szCs w:val="20"/>
    </w:rPr>
  </w:style>
  <w:style w:type="paragraph" w:styleId="14">
    <w:name w:val="Subtitle"/>
    <w:basedOn w:val="1"/>
    <w:next w:val="1"/>
    <w:link w:val="36"/>
    <w:qFormat/>
    <w:locked/>
    <w:uiPriority w:val="99"/>
    <w:pPr>
      <w:spacing w:before="240" w:after="60" w:line="312" w:lineRule="auto"/>
      <w:jc w:val="center"/>
      <w:outlineLvl w:val="1"/>
    </w:pPr>
    <w:rPr>
      <w:rFonts w:ascii="Cambria" w:hAnsi="Cambria"/>
      <w:b/>
      <w:bCs/>
      <w:kern w:val="28"/>
      <w:sz w:val="32"/>
      <w:szCs w:val="32"/>
    </w:rPr>
  </w:style>
  <w:style w:type="paragraph" w:styleId="15">
    <w:name w:val="toc 2"/>
    <w:basedOn w:val="1"/>
    <w:next w:val="1"/>
    <w:qFormat/>
    <w:uiPriority w:val="39"/>
    <w:pPr>
      <w:ind w:left="210"/>
    </w:pPr>
    <w:rPr>
      <w:smallCaps/>
      <w:sz w:val="20"/>
      <w:szCs w:val="20"/>
    </w:rPr>
  </w:style>
  <w:style w:type="paragraph" w:styleId="16">
    <w:name w:val="Normal (Web)"/>
    <w:basedOn w:val="1"/>
    <w:unhideWhenUsed/>
    <w:qFormat/>
    <w:uiPriority w:val="99"/>
    <w:pPr>
      <w:spacing w:before="100" w:beforeAutospacing="1" w:after="100" w:afterAutospacing="1"/>
    </w:pPr>
  </w:style>
  <w:style w:type="paragraph" w:styleId="17">
    <w:name w:val="annotation subject"/>
    <w:basedOn w:val="8"/>
    <w:next w:val="8"/>
    <w:link w:val="34"/>
    <w:semiHidden/>
    <w:qFormat/>
    <w:uiPriority w:val="99"/>
    <w:rPr>
      <w:b/>
      <w:bCs/>
      <w:sz w:val="20"/>
      <w:szCs w:val="20"/>
    </w:rPr>
  </w:style>
  <w:style w:type="character" w:styleId="20">
    <w:name w:val="Strong"/>
    <w:qFormat/>
    <w:locked/>
    <w:uiPriority w:val="22"/>
    <w:rPr>
      <w:b/>
      <w:bCs/>
    </w:rPr>
  </w:style>
  <w:style w:type="character" w:styleId="21">
    <w:name w:val="FollowedHyperlink"/>
    <w:qFormat/>
    <w:uiPriority w:val="99"/>
    <w:rPr>
      <w:rFonts w:cs="Times New Roman"/>
      <w:color w:val="800080"/>
      <w:u w:val="single"/>
    </w:rPr>
  </w:style>
  <w:style w:type="character" w:styleId="22">
    <w:name w:val="Emphasis"/>
    <w:qFormat/>
    <w:locked/>
    <w:uiPriority w:val="99"/>
    <w:rPr>
      <w:rFonts w:cs="Times New Roman"/>
      <w:i/>
      <w:iCs/>
    </w:rPr>
  </w:style>
  <w:style w:type="character" w:styleId="23">
    <w:name w:val="Hyperlink"/>
    <w:basedOn w:val="19"/>
    <w:qFormat/>
    <w:uiPriority w:val="99"/>
    <w:rPr>
      <w:rFonts w:cs="Times New Roman"/>
      <w:color w:val="0563C1"/>
      <w:u w:val="single"/>
    </w:rPr>
  </w:style>
  <w:style w:type="character" w:styleId="24">
    <w:name w:val="annotation reference"/>
    <w:semiHidden/>
    <w:qFormat/>
    <w:uiPriority w:val="99"/>
    <w:rPr>
      <w:rFonts w:cs="Times New Roman"/>
      <w:sz w:val="21"/>
    </w:rPr>
  </w:style>
  <w:style w:type="character" w:customStyle="1" w:styleId="25">
    <w:name w:val="标题 1 字符"/>
    <w:link w:val="2"/>
    <w:qFormat/>
    <w:locked/>
    <w:uiPriority w:val="99"/>
    <w:rPr>
      <w:rFonts w:ascii="Calibri" w:hAnsi="Calibri" w:cs="Times New Roman"/>
      <w:b/>
      <w:kern w:val="44"/>
      <w:sz w:val="44"/>
    </w:rPr>
  </w:style>
  <w:style w:type="character" w:customStyle="1" w:styleId="26">
    <w:name w:val="标题 2 字符"/>
    <w:link w:val="3"/>
    <w:qFormat/>
    <w:locked/>
    <w:uiPriority w:val="99"/>
    <w:rPr>
      <w:rFonts w:ascii="Cambria" w:hAnsi="Cambria" w:cs="Times New Roman"/>
      <w:b/>
      <w:sz w:val="32"/>
    </w:rPr>
  </w:style>
  <w:style w:type="character" w:customStyle="1" w:styleId="27">
    <w:name w:val="标题 3 字符"/>
    <w:link w:val="4"/>
    <w:qFormat/>
    <w:locked/>
    <w:uiPriority w:val="99"/>
    <w:rPr>
      <w:rFonts w:ascii="Calibri" w:hAnsi="Calibri" w:cs="Times New Roman"/>
      <w:b/>
      <w:sz w:val="32"/>
    </w:rPr>
  </w:style>
  <w:style w:type="character" w:customStyle="1" w:styleId="28">
    <w:name w:val="页眉 字符"/>
    <w:link w:val="12"/>
    <w:qFormat/>
    <w:locked/>
    <w:uiPriority w:val="99"/>
    <w:rPr>
      <w:rFonts w:cs="Times New Roman"/>
      <w:sz w:val="18"/>
    </w:rPr>
  </w:style>
  <w:style w:type="character" w:customStyle="1" w:styleId="29">
    <w:name w:val="页脚 字符"/>
    <w:link w:val="11"/>
    <w:qFormat/>
    <w:locked/>
    <w:uiPriority w:val="99"/>
    <w:rPr>
      <w:rFonts w:cs="Times New Roman"/>
      <w:sz w:val="18"/>
    </w:rPr>
  </w:style>
  <w:style w:type="paragraph" w:customStyle="1" w:styleId="30">
    <w:name w:val="TOC 标题1"/>
    <w:basedOn w:val="2"/>
    <w:next w:val="1"/>
    <w:qFormat/>
    <w:uiPriority w:val="99"/>
    <w:pPr>
      <w:spacing w:before="480" w:after="0" w:line="276" w:lineRule="auto"/>
      <w:outlineLvl w:val="9"/>
    </w:pPr>
    <w:rPr>
      <w:rFonts w:ascii="Cambria" w:hAnsi="Cambria"/>
      <w:color w:val="365F91"/>
      <w:kern w:val="0"/>
      <w:sz w:val="28"/>
      <w:szCs w:val="28"/>
    </w:rPr>
  </w:style>
  <w:style w:type="paragraph" w:styleId="31">
    <w:name w:val="List Paragraph"/>
    <w:basedOn w:val="1"/>
    <w:qFormat/>
    <w:uiPriority w:val="34"/>
    <w:pPr>
      <w:ind w:firstLine="420" w:firstLineChars="200"/>
    </w:pPr>
  </w:style>
  <w:style w:type="character" w:styleId="32">
    <w:name w:val="Placeholder Text"/>
    <w:semiHidden/>
    <w:qFormat/>
    <w:uiPriority w:val="99"/>
    <w:rPr>
      <w:rFonts w:cs="Times New Roman"/>
      <w:color w:val="808080"/>
    </w:rPr>
  </w:style>
  <w:style w:type="character" w:customStyle="1" w:styleId="33">
    <w:name w:val="批注文字 字符"/>
    <w:link w:val="8"/>
    <w:semiHidden/>
    <w:qFormat/>
    <w:locked/>
    <w:uiPriority w:val="99"/>
    <w:rPr>
      <w:rFonts w:cs="Times New Roman"/>
    </w:rPr>
  </w:style>
  <w:style w:type="character" w:customStyle="1" w:styleId="34">
    <w:name w:val="批注主题 字符"/>
    <w:link w:val="17"/>
    <w:semiHidden/>
    <w:qFormat/>
    <w:locked/>
    <w:uiPriority w:val="99"/>
    <w:rPr>
      <w:rFonts w:cs="Times New Roman"/>
      <w:b/>
    </w:rPr>
  </w:style>
  <w:style w:type="character" w:customStyle="1" w:styleId="35">
    <w:name w:val="批注框文本 字符"/>
    <w:link w:val="10"/>
    <w:semiHidden/>
    <w:qFormat/>
    <w:locked/>
    <w:uiPriority w:val="99"/>
    <w:rPr>
      <w:rFonts w:cs="Times New Roman"/>
      <w:sz w:val="2"/>
    </w:rPr>
  </w:style>
  <w:style w:type="character" w:customStyle="1" w:styleId="36">
    <w:name w:val="副标题 字符"/>
    <w:link w:val="14"/>
    <w:qFormat/>
    <w:locked/>
    <w:uiPriority w:val="99"/>
    <w:rPr>
      <w:rFonts w:ascii="Cambria" w:hAnsi="Cambria" w:cs="Times New Roman"/>
      <w:b/>
      <w:bCs/>
      <w:kern w:val="28"/>
      <w:sz w:val="32"/>
      <w:szCs w:val="32"/>
    </w:rPr>
  </w:style>
  <w:style w:type="character" w:customStyle="1" w:styleId="37">
    <w:name w:val="文档结构图 字符"/>
    <w:link w:val="7"/>
    <w:semiHidden/>
    <w:qFormat/>
    <w:uiPriority w:val="99"/>
    <w:rPr>
      <w:rFonts w:ascii="宋体"/>
      <w:sz w:val="18"/>
      <w:szCs w:val="18"/>
    </w:rPr>
  </w:style>
  <w:style w:type="character" w:customStyle="1" w:styleId="38">
    <w:name w:val="标题 4 字符"/>
    <w:link w:val="5"/>
    <w:qFormat/>
    <w:uiPriority w:val="9"/>
    <w:rPr>
      <w:rFonts w:ascii="Calibri Light" w:hAnsi="Calibri Light"/>
      <w:b/>
      <w:bCs/>
      <w:kern w:val="2"/>
      <w:sz w:val="28"/>
      <w:szCs w:val="28"/>
    </w:rPr>
  </w:style>
  <w:style w:type="paragraph" w:styleId="39">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40">
    <w:name w:val="列出段落1"/>
    <w:basedOn w:val="1"/>
    <w:qFormat/>
    <w:uiPriority w:val="34"/>
    <w:pPr>
      <w:ind w:firstLine="420" w:firstLineChars="200"/>
    </w:pPr>
  </w:style>
  <w:style w:type="paragraph" w:customStyle="1" w:styleId="41">
    <w:name w:val="F5_Body Text"/>
    <w:basedOn w:val="1"/>
    <w:link w:val="42"/>
    <w:qFormat/>
    <w:uiPriority w:val="0"/>
    <w:pPr>
      <w:widowControl w:val="0"/>
      <w:spacing w:before="80" w:after="80" w:line="360" w:lineRule="auto"/>
      <w:ind w:firstLine="420" w:firstLineChars="200"/>
    </w:pPr>
    <w:rPr>
      <w:rFonts w:ascii="Times New Roman" w:hAnsi="Times New Roman" w:cs="Times New Roman"/>
      <w:sz w:val="21"/>
    </w:rPr>
  </w:style>
  <w:style w:type="character" w:customStyle="1" w:styleId="42">
    <w:name w:val="F5_Body Text Char"/>
    <w:link w:val="41"/>
    <w:qFormat/>
    <w:locked/>
    <w:uiPriority w:val="0"/>
    <w:rPr>
      <w:sz w:val="21"/>
      <w:szCs w:val="24"/>
    </w:rPr>
  </w:style>
  <w:style w:type="paragraph" w:customStyle="1" w:styleId="43">
    <w:name w:val="列表段落1"/>
    <w:basedOn w:val="1"/>
    <w:qFormat/>
    <w:uiPriority w:val="34"/>
    <w:pPr>
      <w:widowControl w:val="0"/>
      <w:ind w:firstLine="420" w:firstLineChars="200"/>
      <w:jc w:val="both"/>
    </w:pPr>
    <w:rPr>
      <w:rFonts w:ascii="Calibri" w:hAnsi="Calibri" w:cs="黑体"/>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5" Type="http://schemas.openxmlformats.org/officeDocument/2006/relationships/fontTable" Target="fontTable.xml"/><Relationship Id="rId44" Type="http://schemas.openxmlformats.org/officeDocument/2006/relationships/customXml" Target="../customXml/item1.xml"/><Relationship Id="rId43" Type="http://schemas.openxmlformats.org/officeDocument/2006/relationships/numbering" Target="numbering.xml"/><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E7911-A0EC-4ED3-93FC-44CE7CAB8FD8}">
  <ds:schemaRefs/>
</ds:datastoreItem>
</file>

<file path=docProps/app.xml><?xml version="1.0" encoding="utf-8"?>
<Properties xmlns="http://schemas.openxmlformats.org/officeDocument/2006/extended-properties" xmlns:vt="http://schemas.openxmlformats.org/officeDocument/2006/docPropsVTypes">
  <Template>Normal.dotm</Template>
  <Pages>21</Pages>
  <Words>2828</Words>
  <Characters>2904</Characters>
  <Lines>30</Lines>
  <Paragraphs>8</Paragraphs>
  <TotalTime>1</TotalTime>
  <ScaleCrop>false</ScaleCrop>
  <LinksUpToDate>false</LinksUpToDate>
  <CharactersWithSpaces>2923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2024-06-12T06:57:00Z</dcterms:created>
  <dc:creator>Zhao</dc:creator>
  <cp:lastModifiedBy>刘丽丽</cp:lastModifiedBy>
  <dcterms:modified xsi:type="dcterms:W3CDTF">2025-04-09T09:04:45Z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529F1B38E9434C7585CDF9BD17577654_13</vt:lpwstr>
  </property>
  <property fmtid="{D5CDD505-2E9C-101B-9397-08002B2CF9AE}" pid="4" name="KSOTemplateDocerSaveRecord">
    <vt:lpwstr>eyJoZGlkIjoiYTVmM2Q3ODAyMjMxZjgxYTAyMmZhM2Q5M2RiMzVkMWYiLCJ1c2VySWQiOiI0ODQ3MDA4MTYifQ==</vt:lpwstr>
  </property>
</Properties>
</file>