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color w:val="000000"/>
          <w:kern w:val="0"/>
          <w:sz w:val="44"/>
          <w:szCs w:val="44"/>
          <w:lang w:bidi="ar"/>
        </w:rPr>
      </w:pPr>
      <w:r>
        <w:rPr>
          <w:rFonts w:hint="eastAsia" w:ascii="楷体" w:hAnsi="楷体" w:eastAsia="楷体" w:cs="楷体"/>
          <w:b/>
          <w:color w:val="000000"/>
          <w:kern w:val="0"/>
          <w:sz w:val="44"/>
          <w:szCs w:val="44"/>
          <w:lang w:bidi="ar"/>
        </w:rPr>
        <w:t>业务操作指引</w:t>
      </w:r>
    </w:p>
    <w:p>
      <w:pPr>
        <w:jc w:val="center"/>
        <w:rPr>
          <w:rFonts w:hint="eastAsia" w:ascii="楷体" w:hAnsi="楷体" w:eastAsia="楷体" w:cs="楷体"/>
          <w:b/>
          <w:color w:val="000000"/>
          <w:kern w:val="0"/>
          <w:sz w:val="44"/>
          <w:szCs w:val="44"/>
          <w:lang w:bidi="ar"/>
        </w:rPr>
      </w:pPr>
      <w:r>
        <w:rPr>
          <w:rFonts w:hint="eastAsia" w:ascii="楷体" w:hAnsi="楷体" w:eastAsia="楷体" w:cs="楷体"/>
          <w:b/>
          <w:color w:val="000000"/>
          <w:kern w:val="0"/>
          <w:sz w:val="44"/>
          <w:szCs w:val="44"/>
          <w:lang w:bidi="ar"/>
        </w:rPr>
        <w:t>2</w:t>
      </w:r>
      <w:r>
        <w:rPr>
          <w:rFonts w:ascii="楷体" w:hAnsi="楷体" w:eastAsia="楷体" w:cs="楷体"/>
          <w:b/>
          <w:color w:val="000000"/>
          <w:kern w:val="0"/>
          <w:sz w:val="44"/>
          <w:szCs w:val="44"/>
          <w:lang w:bidi="ar"/>
        </w:rPr>
        <w:t>0015</w:t>
      </w:r>
      <w:r>
        <w:rPr>
          <w:rFonts w:hint="eastAsia" w:ascii="楷体" w:hAnsi="楷体" w:eastAsia="楷体" w:cs="楷体"/>
          <w:b/>
          <w:color w:val="000000"/>
          <w:kern w:val="0"/>
          <w:sz w:val="44"/>
          <w:szCs w:val="44"/>
          <w:lang w:bidi="ar"/>
        </w:rPr>
        <w:t>留抵退税缴回申请</w:t>
      </w:r>
    </w:p>
    <w:p>
      <w:pPr>
        <w:jc w:val="center"/>
        <w:rPr>
          <w:rFonts w:hint="eastAsia" w:ascii="楷体" w:hAnsi="楷体" w:eastAsia="楷体" w:cs="楷体"/>
          <w:b/>
          <w:color w:val="000000"/>
          <w:kern w:val="0"/>
          <w:sz w:val="44"/>
          <w:szCs w:val="44"/>
          <w:lang w:val="en-US" w:eastAsia="zh-CN" w:bidi="ar"/>
        </w:rPr>
      </w:pPr>
      <w:r>
        <w:rPr>
          <w:rFonts w:hint="eastAsia" w:ascii="楷体" w:hAnsi="楷体" w:eastAsia="楷体" w:cs="楷体"/>
          <w:b/>
          <w:color w:val="000000"/>
          <w:kern w:val="0"/>
          <w:sz w:val="44"/>
          <w:szCs w:val="44"/>
          <w:lang w:val="en-US" w:eastAsia="zh-CN" w:bidi="ar"/>
        </w:rPr>
        <w:t>纳税人端</w:t>
      </w:r>
    </w:p>
    <w:p>
      <w:pPr>
        <w:jc w:val="center"/>
        <w:rPr>
          <w:rFonts w:hint="eastAsia" w:ascii="楷体" w:hAnsi="楷体" w:eastAsia="楷体" w:cs="楷体"/>
          <w:b/>
          <w:color w:val="000000"/>
          <w:kern w:val="0"/>
          <w:sz w:val="44"/>
          <w:szCs w:val="44"/>
          <w:lang w:val="en-US" w:eastAsia="zh-CN" w:bidi="ar"/>
        </w:rPr>
      </w:pPr>
    </w:p>
    <w:p>
      <w:pPr>
        <w:jc w:val="center"/>
        <w:rPr>
          <w:rFonts w:hint="default" w:ascii="楷体" w:hAnsi="楷体" w:eastAsia="楷体" w:cs="楷体"/>
          <w:b/>
          <w:color w:val="000000"/>
          <w:kern w:val="0"/>
          <w:sz w:val="44"/>
          <w:szCs w:val="44"/>
          <w:lang w:val="en-US" w:eastAsia="zh-CN" w:bidi="ar"/>
        </w:rPr>
      </w:pPr>
    </w:p>
    <w:p>
      <w:pPr>
        <w:pStyle w:val="13"/>
        <w:ind w:firstLine="0" w:firstLineChars="0"/>
        <w:jc w:val="left"/>
        <w:rPr>
          <w:rFonts w:ascii="楷体" w:hAnsi="楷体" w:eastAsia="楷体" w:cs="楷体"/>
          <w:b/>
          <w:color w:val="000000"/>
          <w:kern w:val="0"/>
          <w:szCs w:val="21"/>
          <w:lang w:bidi="ar"/>
        </w:rPr>
      </w:pPr>
      <w:r>
        <w:rPr>
          <w:rFonts w:hint="eastAsia" w:ascii="楷体" w:hAnsi="楷体" w:eastAsia="楷体" w:cs="楷体"/>
          <w:b/>
          <w:color w:val="000000"/>
          <w:kern w:val="0"/>
          <w:szCs w:val="21"/>
          <w:lang w:bidi="ar"/>
        </w:rPr>
        <w:t xml:space="preserve"> </w:t>
      </w:r>
    </w:p>
    <w:p>
      <w:pPr>
        <w:pStyle w:val="3"/>
        <w:numPr>
          <w:ilvl w:val="0"/>
          <w:numId w:val="0"/>
        </w:numPr>
        <w:ind w:firstLine="641" w:firstLineChars="200"/>
        <w:rPr>
          <w:sz w:val="32"/>
          <w:szCs w:val="32"/>
        </w:rPr>
      </w:pPr>
      <w:r>
        <w:rPr>
          <w:rFonts w:hint="default" w:ascii="Arial" w:hAnsi="Arial" w:eastAsia="黑体" w:cs="Times New Roman"/>
          <w:b/>
          <w:kern w:val="2"/>
          <w:sz w:val="32"/>
          <w:szCs w:val="32"/>
          <w:lang w:val="en-US" w:eastAsia="zh-CN" w:bidi="ar-SA"/>
        </w:rPr>
        <w:t>一、</w:t>
      </w:r>
      <w:r>
        <w:rPr>
          <w:sz w:val="32"/>
          <w:szCs w:val="32"/>
        </w:rPr>
        <w:t xml:space="preserve">业务概述 </w:t>
      </w:r>
    </w:p>
    <w:p>
      <w:pPr>
        <w:overflowPunct w:val="0"/>
        <w:topLinePunct/>
        <w:spacing w:line="500" w:lineRule="exact"/>
        <w:ind w:firstLine="640" w:firstLineChars="200"/>
        <w:rPr>
          <w:rFonts w:ascii="华文仿宋" w:hAnsi="华文仿宋" w:eastAsia="华文仿宋" w:cs="宋体"/>
          <w:sz w:val="32"/>
          <w:szCs w:val="32"/>
        </w:rPr>
      </w:pPr>
      <w:r>
        <w:rPr>
          <w:rFonts w:hint="eastAsia" w:ascii="华文仿宋" w:hAnsi="华文仿宋" w:eastAsia="华文仿宋" w:cs="宋体"/>
          <w:sz w:val="32"/>
          <w:szCs w:val="32"/>
        </w:rPr>
        <w:t>纳税人按照《财政部税务总局海关总署关于深化增值税改革有关政策的公告》（财政部</w:t>
      </w:r>
      <w:r>
        <w:rPr>
          <w:rFonts w:ascii="华文仿宋" w:hAnsi="华文仿宋" w:eastAsia="华文仿宋" w:cs="宋体"/>
          <w:sz w:val="32"/>
          <w:szCs w:val="32"/>
        </w:rPr>
        <w:t> </w:t>
      </w:r>
      <w:r>
        <w:rPr>
          <w:rFonts w:hint="eastAsia" w:ascii="华文仿宋" w:hAnsi="华文仿宋" w:eastAsia="华文仿宋" w:cs="宋体"/>
          <w:sz w:val="32"/>
          <w:szCs w:val="32"/>
        </w:rPr>
        <w:t>税务总局海关总署公告</w:t>
      </w:r>
      <w:r>
        <w:rPr>
          <w:rFonts w:ascii="华文仿宋" w:hAnsi="华文仿宋" w:eastAsia="华文仿宋" w:cs="宋体"/>
          <w:sz w:val="32"/>
          <w:szCs w:val="32"/>
        </w:rPr>
        <w:t>2019</w:t>
      </w:r>
      <w:r>
        <w:rPr>
          <w:rFonts w:hint="eastAsia" w:ascii="华文仿宋" w:hAnsi="华文仿宋" w:eastAsia="华文仿宋" w:cs="宋体"/>
          <w:sz w:val="32"/>
          <w:szCs w:val="32"/>
        </w:rPr>
        <w:t>年第</w:t>
      </w:r>
      <w:r>
        <w:rPr>
          <w:rFonts w:ascii="华文仿宋" w:hAnsi="华文仿宋" w:eastAsia="华文仿宋" w:cs="宋体"/>
          <w:sz w:val="32"/>
          <w:szCs w:val="32"/>
        </w:rPr>
        <w:t>39</w:t>
      </w:r>
      <w:r>
        <w:rPr>
          <w:rFonts w:hint="eastAsia" w:ascii="华文仿宋" w:hAnsi="华文仿宋" w:eastAsia="华文仿宋" w:cs="宋体"/>
          <w:sz w:val="32"/>
          <w:szCs w:val="32"/>
        </w:rPr>
        <w:t>号）、《财政部税务总局关于明确部分先进制造业增值税期末留抵退税政策的公告》（财政部</w:t>
      </w:r>
      <w:r>
        <w:rPr>
          <w:rFonts w:ascii="华文仿宋" w:hAnsi="华文仿宋" w:eastAsia="华文仿宋" w:cs="宋体"/>
          <w:sz w:val="32"/>
          <w:szCs w:val="32"/>
        </w:rPr>
        <w:t> </w:t>
      </w:r>
      <w:r>
        <w:rPr>
          <w:rFonts w:hint="eastAsia" w:ascii="华文仿宋" w:hAnsi="华文仿宋" w:eastAsia="华文仿宋" w:cs="宋体"/>
          <w:sz w:val="32"/>
          <w:szCs w:val="32"/>
        </w:rPr>
        <w:t>税务总局公告</w:t>
      </w:r>
      <w:r>
        <w:rPr>
          <w:rFonts w:ascii="华文仿宋" w:hAnsi="华文仿宋" w:eastAsia="华文仿宋" w:cs="宋体"/>
          <w:sz w:val="32"/>
          <w:szCs w:val="32"/>
        </w:rPr>
        <w:t>2019</w:t>
      </w:r>
      <w:r>
        <w:rPr>
          <w:rFonts w:hint="eastAsia" w:ascii="华文仿宋" w:hAnsi="华文仿宋" w:eastAsia="华文仿宋" w:cs="宋体"/>
          <w:sz w:val="32"/>
          <w:szCs w:val="32"/>
        </w:rPr>
        <w:t>年第</w:t>
      </w:r>
      <w:r>
        <w:rPr>
          <w:rFonts w:ascii="华文仿宋" w:hAnsi="华文仿宋" w:eastAsia="华文仿宋" w:cs="宋体"/>
          <w:sz w:val="32"/>
          <w:szCs w:val="32"/>
        </w:rPr>
        <w:t>84</w:t>
      </w:r>
      <w:r>
        <w:rPr>
          <w:rFonts w:hint="eastAsia" w:ascii="华文仿宋" w:hAnsi="华文仿宋" w:eastAsia="华文仿宋" w:cs="宋体"/>
          <w:sz w:val="32"/>
          <w:szCs w:val="32"/>
        </w:rPr>
        <w:t>号）、《财政部税务总局关于进一步加大增值税期末留抵退税政策实施力度的公告》（财政部 税务总局公告2022年第14号）规定取得增值税留抵退税款的不含疫情防控重点保障物资生产企业根据《财政部税务总局关于支持新型冠状病毒感染肺炎疫情防控有关税务政策的公告》（财政部税务总局公告2020年第8号）规定的取得的留抵退税，不得再申请享受增值税即征即退、先征后返（退）政策。纳税人自2019年4月1日起已按上述政策规定取得留抵退税款的，可以在2022年10月31日前一次性将已取得的留抵退税款全部缴回后，按规定申请享受增值税即征即退、先征后返（退）政策。</w:t>
      </w:r>
    </w:p>
    <w:p>
      <w:pPr>
        <w:overflowPunct w:val="0"/>
        <w:topLinePunct/>
        <w:spacing w:line="500" w:lineRule="exact"/>
        <w:ind w:firstLine="640" w:firstLineChars="200"/>
        <w:rPr>
          <w:rFonts w:ascii="华文仿宋" w:hAnsi="华文仿宋" w:eastAsia="华文仿宋" w:cs="宋体"/>
          <w:sz w:val="32"/>
          <w:szCs w:val="32"/>
        </w:rPr>
      </w:pPr>
      <w:r>
        <w:rPr>
          <w:rFonts w:hint="eastAsia" w:ascii="华文仿宋" w:hAnsi="华文仿宋" w:eastAsia="华文仿宋" w:cs="宋体"/>
          <w:sz w:val="32"/>
          <w:szCs w:val="32"/>
        </w:rPr>
        <w:t>如果发现纳税人存在留抵退税政策适用有误的情形，纳税人应在下个纳税申报期结束前缴回相关留抵退税款。</w:t>
      </w:r>
    </w:p>
    <w:p>
      <w:pPr>
        <w:overflowPunct w:val="0"/>
        <w:topLinePunct/>
        <w:spacing w:line="500" w:lineRule="exact"/>
        <w:ind w:firstLine="640" w:firstLineChars="200"/>
        <w:rPr>
          <w:rFonts w:ascii="华文仿宋" w:hAnsi="华文仿宋" w:eastAsia="华文仿宋"/>
          <w:sz w:val="32"/>
          <w:szCs w:val="32"/>
        </w:rPr>
      </w:pPr>
      <w:r>
        <w:rPr>
          <w:rFonts w:hint="eastAsia" w:ascii="华文仿宋" w:hAnsi="华文仿宋" w:eastAsia="华文仿宋" w:cs="宋体"/>
          <w:sz w:val="32"/>
          <w:szCs w:val="32"/>
        </w:rPr>
        <w:t>纳税人按照财政部税务总局2</w:t>
      </w:r>
      <w:r>
        <w:rPr>
          <w:rFonts w:ascii="华文仿宋" w:hAnsi="华文仿宋" w:eastAsia="华文仿宋" w:cs="宋体"/>
          <w:sz w:val="32"/>
          <w:szCs w:val="32"/>
        </w:rPr>
        <w:t>022</w:t>
      </w:r>
      <w:r>
        <w:rPr>
          <w:rFonts w:hint="eastAsia" w:ascii="华文仿宋" w:hAnsi="华文仿宋" w:eastAsia="华文仿宋" w:cs="宋体"/>
          <w:sz w:val="32"/>
          <w:szCs w:val="32"/>
        </w:rPr>
        <w:t>年第14号公告第十条的规定，需要申请缴回已退还的全部留抵退税款的可通过电子税务局或办税服务厅提交《缴回留抵退税申请表》。</w:t>
      </w:r>
      <w:bookmarkStart w:id="0" w:name="_Hlk100181106"/>
      <w:r>
        <w:rPr>
          <w:rFonts w:hint="eastAsia" w:ascii="华文仿宋" w:hAnsi="华文仿宋" w:eastAsia="华文仿宋" w:cs="宋体"/>
          <w:sz w:val="32"/>
          <w:szCs w:val="32"/>
        </w:rPr>
        <w:t>税务机关应自受理之日起5个工作日内，依申请向纳税人出具留抵退税款缴回的《税务事项通知书》</w:t>
      </w:r>
      <w:bookmarkEnd w:id="0"/>
      <w:r>
        <w:rPr>
          <w:rFonts w:hint="eastAsia" w:ascii="华文仿宋" w:hAnsi="华文仿宋" w:eastAsia="华文仿宋" w:cs="宋体"/>
          <w:sz w:val="32"/>
          <w:szCs w:val="32"/>
        </w:rPr>
        <w:t>。纳税人在缴回已退还的全部留抵退税款后，办理增值税纳税申报时，将缴回的全部退税款在《增值税及附加税费申报表附列资料（二）》（本期进项税额明细）第22栏“上期留抵税额退税”填写负数，并可继续按规定抵扣进项税额。</w:t>
      </w:r>
    </w:p>
    <w:p>
      <w:pPr>
        <w:pStyle w:val="3"/>
        <w:numPr>
          <w:ilvl w:val="0"/>
          <w:numId w:val="0"/>
        </w:numPr>
        <w:ind w:firstLine="641" w:firstLineChars="200"/>
        <w:rPr>
          <w:sz w:val="32"/>
          <w:szCs w:val="32"/>
        </w:rPr>
      </w:pPr>
      <w:r>
        <w:rPr>
          <w:rFonts w:hint="default" w:ascii="Arial" w:hAnsi="Arial" w:eastAsia="黑体" w:cs="Times New Roman"/>
          <w:b/>
          <w:kern w:val="2"/>
          <w:sz w:val="32"/>
          <w:szCs w:val="32"/>
          <w:lang w:val="en-US" w:eastAsia="zh-CN" w:bidi="ar-SA"/>
        </w:rPr>
        <w:t>二、</w:t>
      </w:r>
      <w:r>
        <w:rPr>
          <w:rFonts w:hint="eastAsia"/>
          <w:sz w:val="32"/>
          <w:szCs w:val="32"/>
        </w:rPr>
        <w:t>办理流程</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即办业务。</w:t>
      </w:r>
    </w:p>
    <w:p>
      <w:pPr>
        <w:pStyle w:val="3"/>
        <w:numPr>
          <w:ilvl w:val="0"/>
          <w:numId w:val="0"/>
        </w:numPr>
        <w:ind w:firstLine="641" w:firstLineChars="200"/>
        <w:rPr>
          <w:sz w:val="32"/>
          <w:szCs w:val="32"/>
        </w:rPr>
      </w:pPr>
      <w:r>
        <w:rPr>
          <w:rFonts w:hint="eastAsia" w:cs="Times New Roman"/>
          <w:b/>
          <w:kern w:val="2"/>
          <w:sz w:val="32"/>
          <w:szCs w:val="32"/>
          <w:lang w:val="en-US" w:eastAsia="zh-CN" w:bidi="ar-SA"/>
        </w:rPr>
        <w:t>三</w:t>
      </w:r>
      <w:r>
        <w:rPr>
          <w:rFonts w:hint="default" w:ascii="Arial" w:hAnsi="Arial" w:eastAsia="黑体" w:cs="Times New Roman"/>
          <w:b/>
          <w:kern w:val="2"/>
          <w:sz w:val="32"/>
          <w:szCs w:val="32"/>
          <w:lang w:val="en-US" w:eastAsia="zh-CN" w:bidi="ar-SA"/>
        </w:rPr>
        <w:t>、</w:t>
      </w:r>
      <w:r>
        <w:rPr>
          <w:rFonts w:hint="eastAsia"/>
          <w:sz w:val="32"/>
          <w:szCs w:val="32"/>
        </w:rPr>
        <w:t>功能路径</w:t>
      </w:r>
    </w:p>
    <w:p>
      <w:pPr>
        <w:pStyle w:val="13"/>
        <w:numPr>
          <w:ilvl w:val="0"/>
          <w:numId w:val="2"/>
        </w:numPr>
        <w:ind w:left="0" w:firstLine="640"/>
        <w:jc w:val="left"/>
        <w:rPr>
          <w:rFonts w:ascii="华文仿宋" w:hAnsi="华文仿宋" w:eastAsia="华文仿宋" w:cs="华文仿宋"/>
          <w:sz w:val="32"/>
          <w:szCs w:val="32"/>
        </w:rPr>
      </w:pPr>
      <w:r>
        <w:rPr>
          <w:rFonts w:hint="eastAsia" w:ascii="华文仿宋" w:hAnsi="华文仿宋" w:eastAsia="华文仿宋" w:cs="华文仿宋"/>
          <w:sz w:val="32"/>
          <w:szCs w:val="32"/>
        </w:rPr>
        <w:t>我要办税-一般退税管理-留抵退税缴回。</w:t>
      </w:r>
    </w:p>
    <w:p>
      <w:pPr>
        <w:pStyle w:val="13"/>
        <w:numPr>
          <w:ilvl w:val="0"/>
          <w:numId w:val="2"/>
        </w:numPr>
        <w:ind w:left="0" w:firstLine="640"/>
        <w:jc w:val="left"/>
        <w:rPr>
          <w:rFonts w:ascii="华文仿宋" w:hAnsi="华文仿宋" w:eastAsia="华文仿宋" w:cs="华文仿宋"/>
          <w:sz w:val="32"/>
          <w:szCs w:val="32"/>
        </w:rPr>
      </w:pPr>
      <w:r>
        <w:rPr>
          <w:rFonts w:hint="eastAsia" w:ascii="华文仿宋" w:hAnsi="华文仿宋" w:eastAsia="华文仿宋" w:cs="华文仿宋"/>
          <w:sz w:val="32"/>
          <w:szCs w:val="32"/>
        </w:rPr>
        <w:t>通过申报后符合留抵退税缴回条件跳转链接进入。</w:t>
      </w:r>
    </w:p>
    <w:p>
      <w:pPr>
        <w:pStyle w:val="13"/>
        <w:numPr>
          <w:ilvl w:val="0"/>
          <w:numId w:val="2"/>
        </w:numPr>
        <w:ind w:left="0" w:firstLine="640"/>
        <w:jc w:val="left"/>
        <w:rPr>
          <w:sz w:val="32"/>
          <w:szCs w:val="32"/>
        </w:rPr>
      </w:pPr>
      <w:r>
        <w:rPr>
          <w:rFonts w:hint="eastAsia" w:ascii="华文仿宋" w:hAnsi="华文仿宋" w:eastAsia="华文仿宋" w:cs="华文仿宋"/>
          <w:sz w:val="32"/>
          <w:szCs w:val="32"/>
        </w:rPr>
        <w:t>通过首页搜索栏输入关键字查找</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lang w:val="en-US" w:eastAsia="zh-CN"/>
        </w:rPr>
        <w:t>留抵退税缴回</w:t>
      </w:r>
      <w:r>
        <w:rPr>
          <w:rFonts w:hint="eastAsia" w:ascii="华文仿宋" w:hAnsi="华文仿宋" w:eastAsia="华文仿宋" w:cs="华文仿宋"/>
          <w:bCs/>
          <w:sz w:val="32"/>
          <w:szCs w:val="32"/>
        </w:rPr>
        <w:t>”进入</w:t>
      </w:r>
      <w:r>
        <w:rPr>
          <w:rFonts w:hint="eastAsia" w:ascii="华文仿宋" w:hAnsi="华文仿宋" w:eastAsia="华文仿宋" w:cs="华文仿宋"/>
          <w:sz w:val="32"/>
          <w:szCs w:val="32"/>
        </w:rPr>
        <w:t>。</w:t>
      </w:r>
    </w:p>
    <w:p>
      <w:pPr>
        <w:pStyle w:val="13"/>
        <w:numPr>
          <w:ilvl w:val="0"/>
          <w:numId w:val="0"/>
        </w:numPr>
        <w:ind w:firstLine="641" w:firstLineChars="200"/>
        <w:jc w:val="left"/>
        <w:rPr>
          <w:sz w:val="32"/>
          <w:szCs w:val="32"/>
        </w:rPr>
      </w:pPr>
      <w:r>
        <w:rPr>
          <w:rFonts w:hint="eastAsia" w:ascii="Arial" w:hAnsi="Arial" w:eastAsia="黑体" w:cs="Times New Roman"/>
          <w:b/>
          <w:kern w:val="2"/>
          <w:sz w:val="32"/>
          <w:szCs w:val="32"/>
          <w:lang w:val="en-US" w:eastAsia="zh-CN" w:bidi="ar-SA"/>
        </w:rPr>
        <w:t>四</w:t>
      </w:r>
      <w:r>
        <w:rPr>
          <w:rFonts w:hint="default" w:ascii="Arial" w:hAnsi="Arial" w:eastAsia="黑体" w:cs="Times New Roman"/>
          <w:b/>
          <w:kern w:val="2"/>
          <w:sz w:val="32"/>
          <w:szCs w:val="32"/>
          <w:lang w:val="en-US" w:eastAsia="zh-CN" w:bidi="ar-SA"/>
        </w:rPr>
        <w:t>、</w:t>
      </w:r>
      <w:r>
        <w:rPr>
          <w:rFonts w:hint="eastAsia"/>
          <w:sz w:val="32"/>
          <w:szCs w:val="32"/>
        </w:rPr>
        <w:t>操作步骤</w:t>
      </w:r>
    </w:p>
    <w:p>
      <w:pPr>
        <w:pStyle w:val="13"/>
        <w:numPr>
          <w:ilvl w:val="0"/>
          <w:numId w:val="3"/>
        </w:numPr>
        <w:ind w:left="0" w:firstLine="640"/>
        <w:jc w:val="left"/>
        <w:rPr>
          <w:rFonts w:ascii="华文仿宋" w:hAnsi="华文仿宋" w:eastAsia="华文仿宋" w:cs="华文仿宋"/>
          <w:sz w:val="32"/>
          <w:szCs w:val="32"/>
        </w:rPr>
      </w:pPr>
      <w:r>
        <w:rPr>
          <w:rFonts w:hint="eastAsia" w:ascii="华文仿宋" w:hAnsi="华文仿宋" w:eastAsia="华文仿宋" w:cs="华文仿宋"/>
          <w:sz w:val="32"/>
          <w:szCs w:val="32"/>
        </w:rPr>
        <w:t>登录</w:t>
      </w:r>
      <w:r>
        <w:rPr>
          <w:rFonts w:hint="eastAsia" w:ascii="仿宋_GB2312" w:eastAsia="仿宋_GB2312" w:cs="仿宋_GB2312"/>
          <w:sz w:val="32"/>
          <w:szCs w:val="32"/>
          <w:highlight w:val="none"/>
        </w:rPr>
        <w:t>新电子税局</w:t>
      </w:r>
      <w:r>
        <w:rPr>
          <w:rFonts w:hint="eastAsia" w:ascii="华文仿宋" w:hAnsi="华文仿宋" w:eastAsia="华文仿宋" w:cs="华文仿宋"/>
          <w:sz w:val="32"/>
          <w:szCs w:val="32"/>
        </w:rPr>
        <w:t>，点击【我要办税】-【一般退税管理】-【留抵退税缴回】功能菜单进入功能。</w:t>
      </w:r>
    </w:p>
    <w:p/>
    <w:p>
      <w:pPr>
        <w:rPr>
          <w:rFonts w:ascii="华文仿宋" w:hAnsi="华文仿宋" w:eastAsia="华文仿宋" w:cs="华文仿宋"/>
          <w:sz w:val="32"/>
          <w:szCs w:val="32"/>
        </w:rPr>
      </w:pPr>
      <w:r>
        <w:drawing>
          <wp:inline distT="0" distB="0" distL="114300" distR="114300">
            <wp:extent cx="5086985" cy="2550160"/>
            <wp:effectExtent l="0" t="0" r="1841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l="3459" t="13931"/>
                    <a:stretch>
                      <a:fillRect/>
                    </a:stretch>
                  </pic:blipFill>
                  <pic:spPr>
                    <a:xfrm>
                      <a:off x="0" y="0"/>
                      <a:ext cx="5086985" cy="2550160"/>
                    </a:xfrm>
                    <a:prstGeom prst="rect">
                      <a:avLst/>
                    </a:prstGeom>
                    <a:noFill/>
                    <a:ln>
                      <a:noFill/>
                    </a:ln>
                  </pic:spPr>
                </pic:pic>
              </a:graphicData>
            </a:graphic>
          </wp:inline>
        </w:drawing>
      </w:r>
    </w:p>
    <w:p>
      <w:pPr>
        <w:pStyle w:val="13"/>
        <w:numPr>
          <w:ilvl w:val="0"/>
          <w:numId w:val="3"/>
        </w:numPr>
        <w:ind w:left="0" w:firstLine="640"/>
        <w:jc w:val="left"/>
        <w:rPr>
          <w:rFonts w:ascii="华文仿宋" w:hAnsi="华文仿宋" w:eastAsia="华文仿宋" w:cs="华文仿宋"/>
          <w:sz w:val="32"/>
          <w:szCs w:val="32"/>
          <w:lang w:eastAsia="zh-Hans"/>
        </w:rPr>
      </w:pPr>
      <w:r>
        <w:rPr>
          <w:rFonts w:hint="eastAsia" w:ascii="华文仿宋" w:hAnsi="华文仿宋" w:eastAsia="华文仿宋" w:cs="华文仿宋"/>
          <w:sz w:val="32"/>
          <w:szCs w:val="32"/>
          <w:lang w:eastAsia="zh-Hans"/>
        </w:rPr>
        <w:t>进入功能展示留抵退税缴回申请预填信息。</w:t>
      </w:r>
    </w:p>
    <w:p>
      <w:r>
        <w:drawing>
          <wp:inline distT="0" distB="0" distL="114300" distR="114300">
            <wp:extent cx="5262245" cy="2524125"/>
            <wp:effectExtent l="0" t="0" r="14605"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62245" cy="2524125"/>
                    </a:xfrm>
                    <a:prstGeom prst="rect">
                      <a:avLst/>
                    </a:prstGeom>
                    <a:noFill/>
                    <a:ln>
                      <a:noFill/>
                    </a:ln>
                  </pic:spPr>
                </pic:pic>
              </a:graphicData>
            </a:graphic>
          </wp:inline>
        </w:drawing>
      </w:r>
    </w:p>
    <w:p>
      <w:pPr>
        <w:pStyle w:val="13"/>
        <w:numPr>
          <w:ilvl w:val="0"/>
          <w:numId w:val="3"/>
        </w:numPr>
        <w:ind w:left="0" w:firstLine="640"/>
        <w:jc w:val="left"/>
        <w:rPr>
          <w:rFonts w:ascii="华文仿宋" w:hAnsi="华文仿宋" w:eastAsia="华文仿宋" w:cs="华文仿宋"/>
          <w:sz w:val="32"/>
          <w:szCs w:val="32"/>
        </w:rPr>
      </w:pPr>
      <w:r>
        <w:rPr>
          <w:rFonts w:hint="eastAsia" w:ascii="华文仿宋" w:hAnsi="华文仿宋" w:eastAsia="华文仿宋" w:cs="华文仿宋"/>
          <w:sz w:val="32"/>
          <w:szCs w:val="32"/>
        </w:rPr>
        <w:t>缴回税款原因</w:t>
      </w:r>
      <w:r>
        <w:rPr>
          <w:rFonts w:hint="eastAsia" w:ascii="华文仿宋" w:hAnsi="华文仿宋" w:eastAsia="华文仿宋" w:cs="华文仿宋"/>
          <w:color w:val="000000" w:themeColor="text1"/>
          <w:sz w:val="32"/>
          <w:szCs w:val="32"/>
          <w14:textFill>
            <w14:solidFill>
              <w14:schemeClr w14:val="tx1"/>
            </w14:solidFill>
          </w14:textFill>
        </w:rPr>
        <w:t>默认带出</w:t>
      </w:r>
      <w:r>
        <w:rPr>
          <w:rFonts w:hint="eastAsia" w:ascii="华文仿宋" w:hAnsi="华文仿宋" w:eastAsia="华文仿宋" w:cs="华文仿宋"/>
          <w:sz w:val="32"/>
          <w:szCs w:val="32"/>
        </w:rPr>
        <w:t>其他原因，具体原因必填。其中还可选择不符合小微企业条件缴回、不符合留抵退税行业条件缴回、更正前期申报导致可退留抵税额发生变化缴回。</w:t>
      </w:r>
    </w:p>
    <w:p>
      <w:pPr>
        <w:rPr>
          <w:rFonts w:ascii="华文仿宋" w:hAnsi="华文仿宋" w:eastAsia="华文仿宋" w:cs="华文仿宋"/>
          <w:sz w:val="32"/>
          <w:szCs w:val="32"/>
        </w:rPr>
      </w:pPr>
      <w:r>
        <w:drawing>
          <wp:inline distT="0" distB="0" distL="114300" distR="114300">
            <wp:extent cx="5274310" cy="2501900"/>
            <wp:effectExtent l="0" t="0" r="2540"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4310" cy="2501900"/>
                    </a:xfrm>
                    <a:prstGeom prst="rect">
                      <a:avLst/>
                    </a:prstGeom>
                    <a:noFill/>
                    <a:ln>
                      <a:noFill/>
                    </a:ln>
                  </pic:spPr>
                </pic:pic>
              </a:graphicData>
            </a:graphic>
          </wp:inline>
        </w:drawing>
      </w:r>
    </w:p>
    <w:p>
      <w:pPr>
        <w:pStyle w:val="13"/>
        <w:numPr>
          <w:ilvl w:val="0"/>
          <w:numId w:val="3"/>
        </w:numPr>
        <w:ind w:left="0" w:firstLine="640"/>
        <w:jc w:val="left"/>
        <w:rPr>
          <w:rFonts w:ascii="华文仿宋" w:hAnsi="华文仿宋" w:eastAsia="华文仿宋" w:cs="华文仿宋"/>
          <w:sz w:val="32"/>
          <w:szCs w:val="32"/>
        </w:rPr>
      </w:pPr>
      <w:r>
        <w:rPr>
          <w:rFonts w:hint="eastAsia" w:ascii="华文仿宋" w:hAnsi="华文仿宋" w:eastAsia="华文仿宋" w:cs="华文仿宋"/>
          <w:sz w:val="32"/>
          <w:szCs w:val="32"/>
        </w:rPr>
        <w:t>勾选需要提交的留抵退税信息，如果需要修改缴回存量退税额或缴回增量退税额，点击文本框进行数值编辑操作。</w:t>
      </w:r>
    </w:p>
    <w:p>
      <w:r>
        <w:drawing>
          <wp:inline distT="0" distB="0" distL="114300" distR="114300">
            <wp:extent cx="5271770" cy="2496185"/>
            <wp:effectExtent l="0" t="0" r="11430" b="18415"/>
            <wp:docPr id="6" name="图片 5" descr="/Users/zzh/Library/Containers/com.kingsoft.wpsoffice.mac/Data/tmp/photoeditapp/20240510185440/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Users/zzh/Library/Containers/com.kingsoft.wpsoffice.mac/Data/tmp/photoeditapp/20240510185440/temp.pngtemp"/>
                    <pic:cNvPicPr>
                      <a:picLocks noChangeAspect="1"/>
                    </pic:cNvPicPr>
                  </pic:nvPicPr>
                  <pic:blipFill>
                    <a:blip r:embed="rId7"/>
                    <a:stretch>
                      <a:fillRect/>
                    </a:stretch>
                  </pic:blipFill>
                  <pic:spPr>
                    <a:xfrm>
                      <a:off x="0" y="0"/>
                      <a:ext cx="5271770" cy="2496185"/>
                    </a:xfrm>
                    <a:prstGeom prst="rect">
                      <a:avLst/>
                    </a:prstGeom>
                    <a:noFill/>
                    <a:ln>
                      <a:noFill/>
                    </a:ln>
                  </pic:spPr>
                </pic:pic>
              </a:graphicData>
            </a:graphic>
          </wp:inline>
        </w:drawing>
      </w:r>
    </w:p>
    <w:p>
      <w:pPr>
        <w:pStyle w:val="13"/>
        <w:numPr>
          <w:ilvl w:val="0"/>
          <w:numId w:val="3"/>
        </w:numPr>
        <w:ind w:left="0" w:firstLine="640"/>
        <w:jc w:val="left"/>
        <w:rPr>
          <w:rFonts w:ascii="华文仿宋" w:hAnsi="华文仿宋" w:eastAsia="华文仿宋" w:cs="华文仿宋"/>
          <w:sz w:val="32"/>
          <w:szCs w:val="32"/>
        </w:rPr>
      </w:pPr>
      <w:r>
        <w:rPr>
          <w:rFonts w:hint="eastAsia" w:ascii="华文仿宋" w:hAnsi="华文仿宋" w:eastAsia="华文仿宋" w:cs="华文仿宋"/>
          <w:sz w:val="32"/>
          <w:szCs w:val="32"/>
        </w:rPr>
        <w:t>确认无误后点击【提交】。</w:t>
      </w:r>
    </w:p>
    <w:p>
      <w:pPr>
        <w:rPr>
          <w:rFonts w:ascii="华文仿宋" w:hAnsi="华文仿宋" w:eastAsia="华文仿宋" w:cs="华文仿宋"/>
          <w:sz w:val="32"/>
          <w:szCs w:val="32"/>
        </w:rPr>
      </w:pPr>
      <w:bookmarkStart w:id="1" w:name="_GoBack"/>
      <w:r>
        <w:drawing>
          <wp:inline distT="0" distB="0" distL="114300" distR="114300">
            <wp:extent cx="5271770" cy="2496185"/>
            <wp:effectExtent l="0" t="0" r="11430" b="18415"/>
            <wp:docPr id="8" name="图片 5" descr="/Users/zzh/Library/Containers/com.kingsoft.wpsoffice.mac/Data/tmp/photoeditapp/20240510185526/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Users/zzh/Library/Containers/com.kingsoft.wpsoffice.mac/Data/tmp/photoeditapp/20240510185526/temp.pngtemp"/>
                    <pic:cNvPicPr>
                      <a:picLocks noChangeAspect="1"/>
                    </pic:cNvPicPr>
                  </pic:nvPicPr>
                  <pic:blipFill>
                    <a:blip r:embed="rId8"/>
                    <a:stretch>
                      <a:fillRect/>
                    </a:stretch>
                  </pic:blipFill>
                  <pic:spPr>
                    <a:xfrm>
                      <a:off x="0" y="0"/>
                      <a:ext cx="5271770" cy="2496185"/>
                    </a:xfrm>
                    <a:prstGeom prst="rect">
                      <a:avLst/>
                    </a:prstGeom>
                    <a:noFill/>
                    <a:ln>
                      <a:noFill/>
                    </a:ln>
                  </pic:spPr>
                </pic:pic>
              </a:graphicData>
            </a:graphic>
          </wp:inline>
        </w:drawing>
      </w:r>
      <w:bookmarkEnd w:id="1"/>
    </w:p>
    <w:p>
      <w:pPr>
        <w:pStyle w:val="13"/>
        <w:numPr>
          <w:ilvl w:val="0"/>
          <w:numId w:val="3"/>
        </w:numPr>
        <w:ind w:left="0" w:firstLine="640"/>
        <w:jc w:val="left"/>
        <w:rPr>
          <w:rFonts w:ascii="华文仿宋" w:hAnsi="华文仿宋" w:eastAsia="华文仿宋" w:cs="华文仿宋"/>
          <w:sz w:val="32"/>
          <w:szCs w:val="32"/>
        </w:rPr>
      </w:pPr>
      <w:r>
        <w:rPr>
          <w:rFonts w:hint="eastAsia" w:ascii="华文仿宋" w:hAnsi="华文仿宋" w:eastAsia="华文仿宋" w:cs="华文仿宋"/>
          <w:sz w:val="32"/>
          <w:szCs w:val="32"/>
        </w:rPr>
        <w:t>系统跳转至留抵退税缴回申请提交成功页面。</w:t>
      </w:r>
    </w:p>
    <w:p>
      <w:pPr>
        <w:jc w:val="left"/>
        <w:rPr>
          <w:rFonts w:ascii="华文仿宋" w:hAnsi="华文仿宋" w:eastAsia="华文仿宋" w:cs="华文仿宋"/>
          <w:sz w:val="32"/>
          <w:szCs w:val="32"/>
        </w:rPr>
      </w:pPr>
      <w:r>
        <w:drawing>
          <wp:inline distT="0" distB="0" distL="114300" distR="114300">
            <wp:extent cx="5262245" cy="2515870"/>
            <wp:effectExtent l="0" t="0" r="14605" b="1778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5262245" cy="2515870"/>
                    </a:xfrm>
                    <a:prstGeom prst="rect">
                      <a:avLst/>
                    </a:prstGeom>
                    <a:noFill/>
                    <a:ln>
                      <a:noFill/>
                    </a:ln>
                  </pic:spPr>
                </pic:pic>
              </a:graphicData>
            </a:graphic>
          </wp:inline>
        </w:drawing>
      </w:r>
    </w:p>
    <w:p>
      <w:pPr>
        <w:pStyle w:val="13"/>
        <w:numPr>
          <w:ilvl w:val="0"/>
          <w:numId w:val="3"/>
        </w:numPr>
        <w:ind w:left="0" w:firstLine="640"/>
        <w:jc w:val="left"/>
      </w:pPr>
      <w:r>
        <w:rPr>
          <w:rFonts w:hint="eastAsia" w:ascii="华文仿宋" w:hAnsi="华文仿宋" w:eastAsia="华文仿宋" w:cs="华文仿宋"/>
          <w:color w:val="000000" w:themeColor="text1"/>
          <w:sz w:val="32"/>
          <w:szCs w:val="32"/>
          <w14:textFill>
            <w14:solidFill>
              <w14:schemeClr w14:val="tx1"/>
            </w14:solidFill>
          </w14:textFill>
        </w:rPr>
        <w:t>点击【返回首页】，可跳转至首页界面。</w:t>
      </w:r>
    </w:p>
    <w:p>
      <w:pPr>
        <w:pStyle w:val="13"/>
        <w:numPr>
          <w:ilvl w:val="0"/>
          <w:numId w:val="0"/>
        </w:numPr>
        <w:jc w:val="left"/>
      </w:pPr>
      <w:r>
        <w:drawing>
          <wp:inline distT="0" distB="0" distL="114300" distR="114300">
            <wp:extent cx="5262245" cy="2515870"/>
            <wp:effectExtent l="0" t="0" r="14605" b="1778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9"/>
                    <a:stretch>
                      <a:fillRect/>
                    </a:stretch>
                  </pic:blipFill>
                  <pic:spPr>
                    <a:xfrm>
                      <a:off x="0" y="0"/>
                      <a:ext cx="5262245" cy="2515870"/>
                    </a:xfrm>
                    <a:prstGeom prst="rect">
                      <a:avLst/>
                    </a:prstGeom>
                    <a:noFill/>
                    <a:ln>
                      <a:noFill/>
                    </a:ln>
                  </pic:spPr>
                </pic:pic>
              </a:graphicData>
            </a:graphic>
          </wp:inline>
        </w:drawing>
      </w:r>
    </w:p>
    <w:p>
      <w:pPr>
        <w:pStyle w:val="3"/>
        <w:numPr>
          <w:ilvl w:val="0"/>
          <w:numId w:val="0"/>
        </w:numPr>
        <w:ind w:left="420" w:leftChars="0" w:hanging="420" w:firstLineChars="0"/>
        <w:rPr>
          <w:sz w:val="32"/>
          <w:szCs w:val="32"/>
        </w:rPr>
      </w:pPr>
      <w:r>
        <w:rPr>
          <w:rFonts w:hint="default" w:ascii="Arial" w:hAnsi="Arial" w:eastAsia="黑体" w:cs="Times New Roman"/>
          <w:b/>
          <w:kern w:val="2"/>
          <w:sz w:val="32"/>
          <w:szCs w:val="32"/>
          <w:lang w:val="en-US" w:eastAsia="zh-CN" w:bidi="ar-SA"/>
        </w:rPr>
        <w:t>六、</w:t>
      </w:r>
      <w:r>
        <w:rPr>
          <w:rFonts w:hint="eastAsia"/>
          <w:sz w:val="32"/>
          <w:szCs w:val="32"/>
        </w:rPr>
        <w:t>报送资料</w:t>
      </w:r>
    </w:p>
    <w:tbl>
      <w:tblPr>
        <w:tblStyle w:val="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2182"/>
        <w:gridCol w:w="687"/>
        <w:gridCol w:w="1205"/>
        <w:gridCol w:w="781"/>
        <w:gridCol w:w="704"/>
        <w:gridCol w:w="1137"/>
        <w:gridCol w:w="1101"/>
      </w:tblGrid>
      <w:tr>
        <w:trPr>
          <w:trHeight w:val="606" w:hRule="atLeast"/>
          <w:jc w:val="center"/>
        </w:trPr>
        <w:tc>
          <w:tcPr>
            <w:tcW w:w="426" w:type="pct"/>
            <w:shd w:val="clear" w:color="auto" w:fill="D8D8D8" w:themeFill="background1" w:themeFillShade="D9"/>
            <w:vAlign w:val="center"/>
          </w:tcPr>
          <w:p>
            <w:pPr>
              <w:jc w:val="center"/>
              <w:rPr>
                <w:rFonts w:ascii="宋体" w:hAnsi="宋体"/>
                <w:b/>
                <w:bCs/>
              </w:rPr>
            </w:pPr>
            <w:r>
              <w:rPr>
                <w:rFonts w:hint="eastAsia" w:ascii="宋体" w:hAnsi="宋体"/>
                <w:b/>
                <w:bCs/>
              </w:rPr>
              <w:t>序号</w:t>
            </w:r>
          </w:p>
        </w:tc>
        <w:tc>
          <w:tcPr>
            <w:tcW w:w="1280" w:type="pct"/>
            <w:shd w:val="clear" w:color="auto" w:fill="D8D8D8" w:themeFill="background1" w:themeFillShade="D9"/>
            <w:vAlign w:val="center"/>
          </w:tcPr>
          <w:p>
            <w:pPr>
              <w:jc w:val="center"/>
              <w:rPr>
                <w:rFonts w:ascii="宋体" w:hAnsi="宋体"/>
                <w:b/>
                <w:bCs/>
              </w:rPr>
            </w:pPr>
            <w:r>
              <w:rPr>
                <w:rFonts w:hint="eastAsia" w:ascii="宋体" w:hAnsi="宋体"/>
                <w:b/>
                <w:bCs/>
              </w:rPr>
              <w:t>资料名称</w:t>
            </w:r>
          </w:p>
        </w:tc>
        <w:tc>
          <w:tcPr>
            <w:tcW w:w="403" w:type="pct"/>
            <w:shd w:val="clear" w:color="auto" w:fill="D8D8D8" w:themeFill="background1" w:themeFillShade="D9"/>
            <w:vAlign w:val="center"/>
          </w:tcPr>
          <w:p>
            <w:pPr>
              <w:jc w:val="center"/>
              <w:rPr>
                <w:rFonts w:ascii="宋体" w:hAnsi="宋体"/>
                <w:b/>
                <w:bCs/>
              </w:rPr>
            </w:pPr>
            <w:r>
              <w:rPr>
                <w:rFonts w:hint="eastAsia" w:ascii="宋体" w:hAnsi="宋体"/>
                <w:b/>
                <w:bCs/>
              </w:rPr>
              <w:t>必报</w:t>
            </w:r>
          </w:p>
        </w:tc>
        <w:tc>
          <w:tcPr>
            <w:tcW w:w="707" w:type="pct"/>
            <w:shd w:val="clear" w:color="auto" w:fill="D8D8D8" w:themeFill="background1" w:themeFillShade="D9"/>
            <w:vAlign w:val="center"/>
          </w:tcPr>
          <w:p>
            <w:pPr>
              <w:jc w:val="center"/>
              <w:rPr>
                <w:rFonts w:ascii="宋体" w:hAnsi="宋体"/>
                <w:b/>
                <w:bCs/>
              </w:rPr>
            </w:pPr>
            <w:r>
              <w:rPr>
                <w:rFonts w:hint="eastAsia" w:ascii="宋体" w:hAnsi="宋体"/>
                <w:b/>
                <w:bCs/>
              </w:rPr>
              <w:t>条件报送</w:t>
            </w:r>
          </w:p>
        </w:tc>
        <w:tc>
          <w:tcPr>
            <w:tcW w:w="458" w:type="pct"/>
            <w:shd w:val="clear" w:color="auto" w:fill="D8D8D8" w:themeFill="background1" w:themeFillShade="D9"/>
            <w:vAlign w:val="center"/>
          </w:tcPr>
          <w:p>
            <w:pPr>
              <w:jc w:val="center"/>
              <w:rPr>
                <w:rFonts w:ascii="宋体" w:hAnsi="宋体"/>
                <w:b/>
                <w:bCs/>
              </w:rPr>
            </w:pPr>
            <w:r>
              <w:rPr>
                <w:rFonts w:hint="eastAsia" w:ascii="宋体" w:hAnsi="宋体"/>
                <w:b/>
                <w:bCs/>
              </w:rPr>
              <w:t>归档</w:t>
            </w:r>
          </w:p>
        </w:tc>
        <w:tc>
          <w:tcPr>
            <w:tcW w:w="413" w:type="pct"/>
            <w:shd w:val="clear" w:color="auto" w:fill="D8D8D8" w:themeFill="background1" w:themeFillShade="D9"/>
            <w:vAlign w:val="center"/>
          </w:tcPr>
          <w:p>
            <w:pPr>
              <w:jc w:val="center"/>
              <w:rPr>
                <w:rFonts w:ascii="宋体" w:hAnsi="宋体"/>
                <w:b/>
                <w:bCs/>
              </w:rPr>
            </w:pPr>
            <w:r>
              <w:rPr>
                <w:rFonts w:hint="eastAsia" w:ascii="宋体" w:hAnsi="宋体"/>
                <w:b/>
                <w:bCs/>
              </w:rPr>
              <w:t>查验</w:t>
            </w:r>
          </w:p>
        </w:tc>
        <w:tc>
          <w:tcPr>
            <w:tcW w:w="667" w:type="pct"/>
            <w:shd w:val="clear" w:color="auto" w:fill="D8D8D8" w:themeFill="background1" w:themeFillShade="D9"/>
            <w:vAlign w:val="center"/>
          </w:tcPr>
          <w:p>
            <w:pPr>
              <w:jc w:val="center"/>
              <w:rPr>
                <w:rFonts w:ascii="宋体" w:hAnsi="宋体"/>
                <w:b/>
                <w:bCs/>
              </w:rPr>
            </w:pPr>
            <w:r>
              <w:rPr>
                <w:rFonts w:hint="eastAsia" w:ascii="宋体" w:hAnsi="宋体"/>
                <w:b/>
                <w:bCs/>
              </w:rPr>
              <w:t>容缺报送</w:t>
            </w:r>
          </w:p>
        </w:tc>
        <w:tc>
          <w:tcPr>
            <w:tcW w:w="646" w:type="pct"/>
            <w:shd w:val="clear" w:color="auto" w:fill="D8D8D8" w:themeFill="background1" w:themeFillShade="D9"/>
            <w:vAlign w:val="center"/>
          </w:tcPr>
          <w:p>
            <w:pPr>
              <w:jc w:val="center"/>
              <w:rPr>
                <w:rFonts w:ascii="宋体" w:hAnsi="宋体"/>
                <w:b/>
                <w:bCs/>
              </w:rPr>
            </w:pPr>
            <w:r>
              <w:rPr>
                <w:rFonts w:hint="eastAsia" w:ascii="宋体" w:hAnsi="宋体"/>
                <w:b/>
                <w:bCs/>
              </w:rPr>
              <w:t>留存备查</w:t>
            </w:r>
          </w:p>
        </w:tc>
      </w:tr>
      <w:tr>
        <w:trPr>
          <w:trHeight w:val="631" w:hRule="atLeast"/>
          <w:jc w:val="center"/>
        </w:trPr>
        <w:tc>
          <w:tcPr>
            <w:tcW w:w="426" w:type="pct"/>
            <w:shd w:val="clear" w:color="auto" w:fill="auto"/>
            <w:vAlign w:val="center"/>
          </w:tcPr>
          <w:p>
            <w:pPr>
              <w:pStyle w:val="16"/>
              <w:rPr>
                <w:rFonts w:ascii="宋体" w:hAnsi="宋体" w:cs="宋体"/>
                <w:sz w:val="21"/>
                <w:szCs w:val="21"/>
                <w:lang w:eastAsia="zh-Hans"/>
              </w:rPr>
            </w:pPr>
            <w:r>
              <w:rPr>
                <w:rFonts w:hint="eastAsia" w:ascii="宋体" w:hAnsi="宋体" w:cs="宋体"/>
                <w:sz w:val="21"/>
                <w:szCs w:val="21"/>
              </w:rPr>
              <w:t>1</w:t>
            </w:r>
          </w:p>
        </w:tc>
        <w:tc>
          <w:tcPr>
            <w:tcW w:w="1280" w:type="pct"/>
            <w:vAlign w:val="center"/>
          </w:tcPr>
          <w:p>
            <w:pPr>
              <w:pStyle w:val="16"/>
              <w:rPr>
                <w:rFonts w:ascii="宋体" w:hAnsi="宋体" w:cs="宋体"/>
                <w:sz w:val="21"/>
                <w:szCs w:val="21"/>
                <w:lang w:eastAsia="zh-Hans"/>
              </w:rPr>
            </w:pPr>
            <w:r>
              <w:rPr>
                <w:rFonts w:hint="eastAsia" w:ascii="宋体" w:hAnsi="宋体" w:cs="宋体"/>
                <w:szCs w:val="18"/>
              </w:rPr>
              <w:t>《留抵退税缴回申请表》</w:t>
            </w:r>
          </w:p>
        </w:tc>
        <w:tc>
          <w:tcPr>
            <w:tcW w:w="403" w:type="pct"/>
          </w:tcPr>
          <w:p>
            <w:pPr>
              <w:pStyle w:val="14"/>
              <w:spacing w:line="600" w:lineRule="auto"/>
              <w:jc w:val="center"/>
              <w:rPr>
                <w:rFonts w:ascii="宋体" w:hAnsi="宋体" w:eastAsia="宋体" w:cs="宋体"/>
                <w:kern w:val="2"/>
                <w:sz w:val="21"/>
                <w:szCs w:val="21"/>
              </w:rPr>
            </w:pPr>
            <w:r>
              <w:rPr>
                <w:rFonts w:hint="eastAsia" w:ascii="宋体" w:hAnsi="宋体" w:cs="宋体"/>
                <w:szCs w:val="18"/>
              </w:rPr>
              <w:t>√</w:t>
            </w:r>
          </w:p>
        </w:tc>
        <w:tc>
          <w:tcPr>
            <w:tcW w:w="707" w:type="pct"/>
          </w:tcPr>
          <w:p>
            <w:pPr>
              <w:pStyle w:val="14"/>
              <w:spacing w:line="600" w:lineRule="auto"/>
              <w:jc w:val="center"/>
              <w:rPr>
                <w:rFonts w:ascii="宋体" w:hAnsi="宋体" w:eastAsia="宋体" w:cs="宋体"/>
                <w:kern w:val="2"/>
                <w:sz w:val="21"/>
                <w:szCs w:val="21"/>
              </w:rPr>
            </w:pPr>
          </w:p>
        </w:tc>
        <w:tc>
          <w:tcPr>
            <w:tcW w:w="458" w:type="pct"/>
          </w:tcPr>
          <w:p>
            <w:pPr>
              <w:pStyle w:val="14"/>
              <w:spacing w:line="600" w:lineRule="auto"/>
              <w:jc w:val="center"/>
              <w:rPr>
                <w:rFonts w:ascii="宋体" w:hAnsi="宋体" w:eastAsia="宋体" w:cs="宋体"/>
                <w:kern w:val="2"/>
                <w:sz w:val="21"/>
                <w:szCs w:val="21"/>
              </w:rPr>
            </w:pPr>
            <w:r>
              <w:rPr>
                <w:rFonts w:hint="eastAsia" w:ascii="宋体" w:hAnsi="宋体" w:cs="宋体"/>
                <w:szCs w:val="18"/>
              </w:rPr>
              <w:t>√</w:t>
            </w:r>
          </w:p>
        </w:tc>
        <w:tc>
          <w:tcPr>
            <w:tcW w:w="413" w:type="pct"/>
          </w:tcPr>
          <w:p>
            <w:pPr>
              <w:pStyle w:val="14"/>
              <w:jc w:val="both"/>
              <w:rPr>
                <w:rFonts w:ascii="宋体" w:hAnsi="宋体" w:eastAsia="宋体" w:cs="宋体"/>
                <w:kern w:val="2"/>
                <w:sz w:val="21"/>
                <w:szCs w:val="21"/>
              </w:rPr>
            </w:pPr>
          </w:p>
        </w:tc>
        <w:tc>
          <w:tcPr>
            <w:tcW w:w="667" w:type="pct"/>
            <w:shd w:val="clear" w:color="auto" w:fill="auto"/>
            <w:vAlign w:val="center"/>
          </w:tcPr>
          <w:p>
            <w:pPr>
              <w:pStyle w:val="14"/>
              <w:jc w:val="both"/>
              <w:rPr>
                <w:rFonts w:ascii="宋体" w:hAnsi="宋体" w:eastAsia="宋体" w:cs="宋体"/>
                <w:kern w:val="2"/>
                <w:sz w:val="21"/>
                <w:szCs w:val="21"/>
                <w:lang w:eastAsia="zh-Hans"/>
              </w:rPr>
            </w:pPr>
          </w:p>
        </w:tc>
        <w:tc>
          <w:tcPr>
            <w:tcW w:w="646" w:type="pct"/>
            <w:shd w:val="clear" w:color="auto" w:fill="auto"/>
            <w:vAlign w:val="center"/>
          </w:tcPr>
          <w:p>
            <w:pPr>
              <w:pStyle w:val="14"/>
              <w:jc w:val="both"/>
              <w:rPr>
                <w:rFonts w:ascii="宋体" w:hAnsi="宋体" w:eastAsia="宋体" w:cs="宋体"/>
                <w:kern w:val="2"/>
                <w:sz w:val="21"/>
                <w:szCs w:val="21"/>
                <w:lang w:eastAsia="zh-Hans"/>
              </w:rPr>
            </w:pPr>
          </w:p>
        </w:tc>
      </w:tr>
    </w:tbl>
    <w:p>
      <w:pPr>
        <w:pStyle w:val="3"/>
        <w:numPr>
          <w:ilvl w:val="0"/>
          <w:numId w:val="0"/>
        </w:numPr>
        <w:ind w:left="420" w:leftChars="0" w:hanging="420" w:firstLineChars="0"/>
        <w:rPr>
          <w:sz w:val="32"/>
          <w:szCs w:val="32"/>
          <w:lang w:eastAsia="zh-Hans"/>
        </w:rPr>
      </w:pPr>
      <w:r>
        <w:rPr>
          <w:rFonts w:hint="default" w:ascii="Arial" w:hAnsi="Arial" w:eastAsia="黑体" w:cs="Times New Roman"/>
          <w:b/>
          <w:kern w:val="2"/>
          <w:sz w:val="32"/>
          <w:szCs w:val="32"/>
          <w:lang w:val="en-US" w:eastAsia="zh-Hans" w:bidi="ar-SA"/>
        </w:rPr>
        <w:t>七、</w:t>
      </w:r>
      <w:r>
        <w:rPr>
          <w:rFonts w:hint="eastAsia"/>
          <w:sz w:val="32"/>
          <w:szCs w:val="32"/>
          <w:lang w:eastAsia="zh-Hans"/>
        </w:rPr>
        <w:t>注意事项</w:t>
      </w:r>
    </w:p>
    <w:p>
      <w:pPr>
        <w:ind w:firstLine="640" w:firstLineChars="200"/>
        <w:jc w:val="left"/>
        <w:rPr>
          <w:rFonts w:ascii="华文仿宋" w:hAnsi="华文仿宋" w:eastAsia="华文仿宋"/>
          <w:sz w:val="32"/>
          <w:szCs w:val="32"/>
          <w:lang w:eastAsia="zh-Hans"/>
        </w:rPr>
      </w:pPr>
      <w:r>
        <w:rPr>
          <w:rFonts w:hint="eastAsia" w:ascii="华文仿宋" w:hAnsi="华文仿宋" w:eastAsia="华文仿宋"/>
          <w:sz w:val="32"/>
          <w:szCs w:val="32"/>
          <w:lang w:eastAsia="zh-Hans"/>
        </w:rPr>
        <w:t>无。</w:t>
      </w:r>
    </w:p>
    <w:p>
      <w:pPr>
        <w:pStyle w:val="3"/>
        <w:numPr>
          <w:ilvl w:val="0"/>
          <w:numId w:val="0"/>
        </w:numPr>
        <w:ind w:left="420" w:leftChars="0" w:hanging="420" w:firstLineChars="0"/>
        <w:rPr>
          <w:sz w:val="32"/>
          <w:szCs w:val="32"/>
          <w:lang w:eastAsia="zh-Hans"/>
        </w:rPr>
      </w:pPr>
      <w:r>
        <w:rPr>
          <w:rFonts w:hint="default" w:ascii="Arial" w:hAnsi="Arial" w:eastAsia="黑体" w:cs="Times New Roman"/>
          <w:b/>
          <w:kern w:val="2"/>
          <w:sz w:val="32"/>
          <w:szCs w:val="32"/>
          <w:lang w:val="en-US" w:eastAsia="zh-Hans" w:bidi="ar-SA"/>
        </w:rPr>
        <w:t>八、</w:t>
      </w:r>
      <w:r>
        <w:rPr>
          <w:rFonts w:hint="eastAsia"/>
          <w:sz w:val="32"/>
          <w:szCs w:val="32"/>
          <w:lang w:eastAsia="zh-Hans"/>
        </w:rPr>
        <w:t>常见问题</w:t>
      </w:r>
    </w:p>
    <w:p>
      <w:pPr>
        <w:pStyle w:val="21"/>
        <w:numPr>
          <w:ilvl w:val="0"/>
          <w:numId w:val="4"/>
        </w:numPr>
        <w:tabs>
          <w:tab w:val="clear" w:pos="0"/>
        </w:tabs>
        <w:ind w:firstLine="640"/>
        <w:rPr>
          <w:rFonts w:hint="default"/>
        </w:rPr>
      </w:pPr>
      <w:r>
        <w:rPr>
          <w:rFonts w:ascii="华文仿宋" w:hAnsi="华文仿宋" w:cs="华文仿宋"/>
          <w:color w:val="000000" w:themeColor="text1"/>
          <w:szCs w:val="32"/>
          <w14:textFill>
            <w14:solidFill>
              <w14:schemeClr w14:val="tx1"/>
            </w14:solidFill>
          </w14:textFill>
        </w:rPr>
        <w:t>留抵退税缴回成功后</w:t>
      </w:r>
      <w:r>
        <w:t>如何查看办理进度？</w:t>
      </w:r>
    </w:p>
    <w:p>
      <w:pPr>
        <w:pStyle w:val="4"/>
        <w:ind w:firstLine="640" w:firstLineChars="200"/>
      </w:pPr>
      <w:r>
        <w:rPr>
          <w:rFonts w:hint="eastAsia" w:ascii="宋体" w:hAnsi="宋体" w:eastAsia="华文仿宋" w:cs="宋体"/>
          <w:sz w:val="32"/>
          <w:szCs w:val="24"/>
        </w:rPr>
        <w:t>答：纳税人可登录电子税务局后，依次点击菜单路径：【首页】-【我要查询】-【涉税信息查询】-【事项进度查询】，进入事项进度查询功能后，找到提交的申请信息，点击查看按钮即可获取当前最新办理进度。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Songti SC">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D294C"/>
    <w:multiLevelType w:val="singleLevel"/>
    <w:tmpl w:val="B6BD294C"/>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
    <w:nsid w:val="05680983"/>
    <w:multiLevelType w:val="multilevel"/>
    <w:tmpl w:val="05680983"/>
    <w:lvl w:ilvl="0" w:tentative="0">
      <w:start w:val="1"/>
      <w:numFmt w:val="japaneseCounting"/>
      <w:pStyle w:val="2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D27F63"/>
    <w:multiLevelType w:val="multilevel"/>
    <w:tmpl w:val="40D27F63"/>
    <w:lvl w:ilvl="0" w:tentative="0">
      <w:start w:val="1"/>
      <w:numFmt w:val="decimal"/>
      <w:suff w:val="space"/>
      <w:lvlText w:val="%1."/>
      <w:lvlJc w:val="left"/>
      <w:pPr>
        <w:ind w:left="440" w:firstLine="127"/>
      </w:pPr>
      <w:rPr>
        <w:rFonts w:hint="eastAsia" w:ascii="华文仿宋" w:hAnsi="华文仿宋" w:eastAsia="华文仿宋"/>
        <w:sz w:val="32"/>
        <w:szCs w:val="32"/>
      </w:rPr>
    </w:lvl>
    <w:lvl w:ilvl="1" w:tentative="0">
      <w:start w:val="1"/>
      <w:numFmt w:val="decimal"/>
      <w:lvlText w:val="（%2）"/>
      <w:lvlJc w:val="left"/>
      <w:pPr>
        <w:ind w:left="2160" w:hanging="1080"/>
      </w:pPr>
      <w:rPr>
        <w:rFonts w:hint="default"/>
      </w:rPr>
    </w:lvl>
    <w:lvl w:ilvl="2" w:tentative="0">
      <w:start w:val="1"/>
      <w:numFmt w:val="decimal"/>
      <w:lvlText w:val="%3）"/>
      <w:lvlJc w:val="left"/>
      <w:pPr>
        <w:ind w:left="1985" w:hanging="465"/>
      </w:pPr>
      <w:rPr>
        <w:rFonts w:hint="default" w:ascii="华文仿宋" w:hAnsi="华文仿宋" w:eastAsia="华文仿宋" w:cs="华文仿宋"/>
        <w:sz w:val="32"/>
      </w:r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552C311B"/>
    <w:multiLevelType w:val="multilevel"/>
    <w:tmpl w:val="552C311B"/>
    <w:lvl w:ilvl="0" w:tentative="0">
      <w:start w:val="1"/>
      <w:numFmt w:val="decimal"/>
      <w:suff w:val="space"/>
      <w:lvlText w:val="%1."/>
      <w:lvlJc w:val="left"/>
      <w:pPr>
        <w:ind w:left="440" w:firstLine="127"/>
      </w:pPr>
      <w:rPr>
        <w:rFonts w:hint="eastAsia" w:ascii="华文仿宋" w:hAnsi="华文仿宋" w:eastAsia="华文仿宋"/>
        <w:sz w:val="32"/>
        <w:szCs w:val="32"/>
      </w:rPr>
    </w:lvl>
    <w:lvl w:ilvl="1" w:tentative="0">
      <w:start w:val="1"/>
      <w:numFmt w:val="decimal"/>
      <w:lvlText w:val="（%2）"/>
      <w:lvlJc w:val="left"/>
      <w:pPr>
        <w:ind w:left="2160" w:hanging="1080"/>
      </w:pPr>
      <w:rPr>
        <w:rFonts w:hint="default"/>
      </w:rPr>
    </w:lvl>
    <w:lvl w:ilvl="2" w:tentative="0">
      <w:start w:val="1"/>
      <w:numFmt w:val="decimal"/>
      <w:lvlText w:val="%3）"/>
      <w:lvlJc w:val="left"/>
      <w:pPr>
        <w:ind w:left="1985" w:hanging="465"/>
      </w:pPr>
      <w:rPr>
        <w:rFonts w:hint="default" w:ascii="华文仿宋" w:hAnsi="华文仿宋" w:eastAsia="华文仿宋" w:cs="华文仿宋"/>
        <w:sz w:val="32"/>
      </w:r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2NkMDNhOWMxYWU0MTNhM2JjZGVmY2UwOGM1MzUifQ=="/>
  </w:docVars>
  <w:rsids>
    <w:rsidRoot w:val="00EB3377"/>
    <w:rsid w:val="0000249C"/>
    <w:rsid w:val="0002128A"/>
    <w:rsid w:val="00051A1F"/>
    <w:rsid w:val="00053172"/>
    <w:rsid w:val="00091D6B"/>
    <w:rsid w:val="000B3AAB"/>
    <w:rsid w:val="000B6EA4"/>
    <w:rsid w:val="000E3861"/>
    <w:rsid w:val="0016045F"/>
    <w:rsid w:val="001746B5"/>
    <w:rsid w:val="001F30A5"/>
    <w:rsid w:val="00266FA0"/>
    <w:rsid w:val="002B04FA"/>
    <w:rsid w:val="002D63D8"/>
    <w:rsid w:val="002E2621"/>
    <w:rsid w:val="00315D16"/>
    <w:rsid w:val="003364E9"/>
    <w:rsid w:val="00374787"/>
    <w:rsid w:val="00377E0E"/>
    <w:rsid w:val="003F1658"/>
    <w:rsid w:val="00444A92"/>
    <w:rsid w:val="004871DA"/>
    <w:rsid w:val="004E0E73"/>
    <w:rsid w:val="00593BCF"/>
    <w:rsid w:val="00597A48"/>
    <w:rsid w:val="0060672C"/>
    <w:rsid w:val="0062528A"/>
    <w:rsid w:val="0063080C"/>
    <w:rsid w:val="00692482"/>
    <w:rsid w:val="006A3B44"/>
    <w:rsid w:val="006B0893"/>
    <w:rsid w:val="006D0663"/>
    <w:rsid w:val="007230FE"/>
    <w:rsid w:val="0072615A"/>
    <w:rsid w:val="00737E89"/>
    <w:rsid w:val="00757502"/>
    <w:rsid w:val="007774EE"/>
    <w:rsid w:val="00782751"/>
    <w:rsid w:val="007A2D27"/>
    <w:rsid w:val="007A6EE6"/>
    <w:rsid w:val="007D1E8C"/>
    <w:rsid w:val="007D77E5"/>
    <w:rsid w:val="007F05D2"/>
    <w:rsid w:val="00815D8D"/>
    <w:rsid w:val="0083384B"/>
    <w:rsid w:val="00844C1D"/>
    <w:rsid w:val="00850CA9"/>
    <w:rsid w:val="008534EE"/>
    <w:rsid w:val="00863114"/>
    <w:rsid w:val="008C7617"/>
    <w:rsid w:val="008E24D0"/>
    <w:rsid w:val="008E2EBC"/>
    <w:rsid w:val="009136EA"/>
    <w:rsid w:val="009A3B89"/>
    <w:rsid w:val="009A697C"/>
    <w:rsid w:val="009F1556"/>
    <w:rsid w:val="009F693F"/>
    <w:rsid w:val="00A06D1D"/>
    <w:rsid w:val="00A76829"/>
    <w:rsid w:val="00A90D79"/>
    <w:rsid w:val="00AD0508"/>
    <w:rsid w:val="00AD3A7D"/>
    <w:rsid w:val="00AD65A0"/>
    <w:rsid w:val="00B07438"/>
    <w:rsid w:val="00B07FBD"/>
    <w:rsid w:val="00B273AE"/>
    <w:rsid w:val="00B30CB7"/>
    <w:rsid w:val="00B31D68"/>
    <w:rsid w:val="00B365F7"/>
    <w:rsid w:val="00B4549E"/>
    <w:rsid w:val="00B535B3"/>
    <w:rsid w:val="00B56511"/>
    <w:rsid w:val="00BF43C8"/>
    <w:rsid w:val="00C561E5"/>
    <w:rsid w:val="00C72D0C"/>
    <w:rsid w:val="00C80E75"/>
    <w:rsid w:val="00C81F73"/>
    <w:rsid w:val="00CA049B"/>
    <w:rsid w:val="00D63D5F"/>
    <w:rsid w:val="00DA769A"/>
    <w:rsid w:val="00DB7007"/>
    <w:rsid w:val="00DC1947"/>
    <w:rsid w:val="00DD47B9"/>
    <w:rsid w:val="00E114CC"/>
    <w:rsid w:val="00E36B43"/>
    <w:rsid w:val="00E7334F"/>
    <w:rsid w:val="00E857AA"/>
    <w:rsid w:val="00E86E89"/>
    <w:rsid w:val="00EA3748"/>
    <w:rsid w:val="00EB3377"/>
    <w:rsid w:val="00F31F4C"/>
    <w:rsid w:val="00FA385D"/>
    <w:rsid w:val="00FA5B23"/>
    <w:rsid w:val="00FC1641"/>
    <w:rsid w:val="00FE6F39"/>
    <w:rsid w:val="212710BD"/>
    <w:rsid w:val="2E607AF8"/>
    <w:rsid w:val="412C11FA"/>
    <w:rsid w:val="DFFB9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2"/>
    <w:qFormat/>
    <w:uiPriority w:val="0"/>
    <w:pPr>
      <w:keepNext/>
      <w:keepLines/>
      <w:outlineLvl w:val="1"/>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spacing w:line="360" w:lineRule="auto"/>
      <w:ind w:firstLine="883" w:firstLineChars="200"/>
      <w:jc w:val="left"/>
    </w:pPr>
    <w:rPr>
      <w:rFonts w:ascii="Songti SC" w:hAnsi="Songti SC" w:eastAsia="宋体" w:cs="Songti SC"/>
      <w:color w:val="auto"/>
      <w:kern w:val="0"/>
      <w:sz w:val="24"/>
      <w:szCs w:val="24"/>
      <w:lang w:val="en-US" w:eastAsia="zh-CN" w:bidi="ar-SA"/>
    </w:rPr>
  </w:style>
  <w:style w:type="paragraph" w:styleId="4">
    <w:name w:val="Body Text"/>
    <w:basedOn w:val="1"/>
    <w:link w:val="20"/>
    <w:qFormat/>
    <w:uiPriority w:val="0"/>
    <w:pPr>
      <w:spacing w:after="120"/>
    </w:pPr>
    <w:rPr>
      <w:rFonts w:ascii="Times New Roman" w:hAnsi="Times New Roman" w:cs="Calibri"/>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cPr>
      <w:vAlign w:val="center"/>
    </w:tcPr>
    <w:tblStylePr w:type="firstRow">
      <w:pPr>
        <w:jc w:val="center"/>
      </w:pPr>
      <w:rPr>
        <w:rFonts w:ascii="Times New Roman" w:hAnsi="Times New Roman" w:eastAsia="宋体"/>
        <w:b/>
        <w:sz w:val="21"/>
      </w:rPr>
      <w:tblPr/>
      <w:trPr>
        <w:tblHeader/>
      </w:trPr>
      <w:tcPr>
        <w:shd w:val="clear" w:color="auto" w:fill="D8D8D8" w:themeFill="background1" w:themeFillShade="D9"/>
      </w:tcPr>
    </w:tblStylePr>
    <w:tblStylePr w:type="firstCol">
      <w:pPr>
        <w:jc w:val="center"/>
      </w:pPr>
      <w:rPr>
        <w:rFonts w:eastAsia="宋体"/>
        <w:sz w:val="21"/>
      </w:rPr>
    </w:tblStyle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3"/>
    <w:qFormat/>
    <w:uiPriority w:val="0"/>
    <w:rPr>
      <w:rFonts w:ascii="Arial" w:hAnsi="Arial" w:eastAsia="黑体" w:cs="Times New Roman"/>
      <w:b/>
      <w:sz w:val="28"/>
      <w:szCs w:val="24"/>
    </w:rPr>
  </w:style>
  <w:style w:type="paragraph" w:styleId="13">
    <w:name w:val="List Paragraph"/>
    <w:basedOn w:val="1"/>
    <w:qFormat/>
    <w:uiPriority w:val="34"/>
    <w:pPr>
      <w:ind w:firstLine="420" w:firstLineChars="200"/>
    </w:pPr>
  </w:style>
  <w:style w:type="paragraph" w:customStyle="1" w:styleId="14">
    <w:name w:val="表格文字 左对齐"/>
    <w:basedOn w:val="1"/>
    <w:link w:val="15"/>
    <w:qFormat/>
    <w:uiPriority w:val="0"/>
    <w:pPr>
      <w:jc w:val="left"/>
    </w:pPr>
    <w:rPr>
      <w:rFonts w:ascii="Arial" w:hAnsi="Arial" w:eastAsia="Times New Roman" w:cs="Arial"/>
      <w:kern w:val="0"/>
      <w:sz w:val="18"/>
      <w:szCs w:val="20"/>
    </w:rPr>
  </w:style>
  <w:style w:type="character" w:customStyle="1" w:styleId="15">
    <w:name w:val="表格文字 左对齐 Char"/>
    <w:link w:val="14"/>
    <w:qFormat/>
    <w:uiPriority w:val="0"/>
    <w:rPr>
      <w:rFonts w:ascii="Arial" w:hAnsi="Arial" w:eastAsia="Times New Roman" w:cs="Arial"/>
      <w:kern w:val="0"/>
      <w:sz w:val="18"/>
      <w:szCs w:val="20"/>
    </w:rPr>
  </w:style>
  <w:style w:type="paragraph" w:customStyle="1" w:styleId="16">
    <w:name w:val="表格文字 居中"/>
    <w:basedOn w:val="1"/>
    <w:link w:val="17"/>
    <w:qFormat/>
    <w:uiPriority w:val="0"/>
    <w:rPr>
      <w:kern w:val="0"/>
      <w:sz w:val="20"/>
      <w:szCs w:val="20"/>
    </w:rPr>
  </w:style>
  <w:style w:type="character" w:customStyle="1" w:styleId="17">
    <w:name w:val="表格文字 居中 Char"/>
    <w:link w:val="16"/>
    <w:qFormat/>
    <w:uiPriority w:val="0"/>
    <w:rPr>
      <w:rFonts w:ascii="Calibri" w:hAnsi="Calibri" w:eastAsia="宋体" w:cs="Times New Roman"/>
      <w:kern w:val="0"/>
      <w:sz w:val="20"/>
      <w:szCs w:val="20"/>
    </w:rPr>
  </w:style>
  <w:style w:type="paragraph" w:customStyle="1" w:styleId="18">
    <w:name w:val="表格列标题"/>
    <w:basedOn w:val="1"/>
    <w:link w:val="19"/>
    <w:qFormat/>
    <w:uiPriority w:val="0"/>
    <w:pPr>
      <w:jc w:val="center"/>
    </w:pPr>
    <w:rPr>
      <w:rFonts w:ascii="Arial" w:hAnsi="Arial" w:cs="Arial"/>
      <w:b/>
      <w:sz w:val="18"/>
    </w:rPr>
  </w:style>
  <w:style w:type="character" w:customStyle="1" w:styleId="19">
    <w:name w:val="表格列标题 Char"/>
    <w:link w:val="18"/>
    <w:qFormat/>
    <w:uiPriority w:val="0"/>
    <w:rPr>
      <w:rFonts w:ascii="Arial" w:hAnsi="Arial" w:eastAsia="宋体" w:cs="Arial"/>
      <w:b/>
      <w:sz w:val="18"/>
      <w:szCs w:val="24"/>
    </w:rPr>
  </w:style>
  <w:style w:type="character" w:customStyle="1" w:styleId="20">
    <w:name w:val="正文文本 字符"/>
    <w:basedOn w:val="9"/>
    <w:link w:val="4"/>
    <w:qFormat/>
    <w:uiPriority w:val="0"/>
    <w:rPr>
      <w:rFonts w:ascii="Times New Roman" w:hAnsi="Times New Roman" w:eastAsia="宋体" w:cs="Calibri"/>
      <w:szCs w:val="21"/>
    </w:rPr>
  </w:style>
  <w:style w:type="paragraph" w:customStyle="1" w:styleId="21">
    <w:name w:val="样式1"/>
    <w:basedOn w:val="1"/>
    <w:qFormat/>
    <w:uiPriority w:val="0"/>
    <w:pPr>
      <w:numPr>
        <w:ilvl w:val="0"/>
        <w:numId w:val="1"/>
      </w:numPr>
      <w:tabs>
        <w:tab w:val="right" w:pos="7666"/>
      </w:tabs>
      <w:ind w:firstLine="883" w:firstLineChars="200"/>
    </w:pPr>
    <w:rPr>
      <w:rFonts w:hint="eastAsia" w:ascii="宋体" w:hAnsi="宋体" w:eastAsia="华文仿宋" w:cs="宋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1273</Words>
  <Characters>1305</Characters>
  <Lines>9</Lines>
  <Paragraphs>2</Paragraphs>
  <TotalTime>2</TotalTime>
  <ScaleCrop>false</ScaleCrop>
  <LinksUpToDate>false</LinksUpToDate>
  <CharactersWithSpaces>1308</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2023-03-22T18:00:00Z</dcterms:created>
  <dc:creator>张 鹏</dc:creator>
  <cp:lastModifiedBy>Cleverr</cp:lastModifiedBy>
  <dcterms:modified xsi:type="dcterms:W3CDTF">2024-05-10T18:55:33Z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AD41D0A82D0445819A08D7AA41578C05_12</vt:lpwstr>
  </property>
</Properties>
</file>