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kern w:val="0"/>
          <w:sz w:val="44"/>
          <w:szCs w:val="44"/>
          <w:lang w:bidi="ar"/>
        </w:rPr>
      </w:pPr>
      <w:r>
        <w:rPr>
          <w:rFonts w:hint="eastAsia" w:ascii="楷体" w:hAnsi="楷体" w:eastAsia="楷体" w:cs="楷体"/>
          <w:b/>
          <w:kern w:val="0"/>
          <w:sz w:val="44"/>
          <w:szCs w:val="44"/>
          <w:lang w:bidi="ar"/>
        </w:rPr>
        <w:t>业务操作指引（</w:t>
      </w:r>
      <w:r>
        <w:rPr>
          <w:rFonts w:hint="eastAsia" w:ascii="楷体" w:hAnsi="楷体" w:eastAsia="楷体" w:cs="楷体"/>
          <w:b/>
          <w:kern w:val="0"/>
          <w:sz w:val="44"/>
          <w:szCs w:val="44"/>
          <w:lang w:val="en-US" w:eastAsia="zh-CN" w:bidi="ar"/>
        </w:rPr>
        <w:t>北京</w:t>
      </w:r>
      <w:r>
        <w:rPr>
          <w:rFonts w:hint="eastAsia" w:ascii="楷体" w:hAnsi="楷体" w:eastAsia="楷体" w:cs="楷体"/>
          <w:b/>
          <w:kern w:val="0"/>
          <w:sz w:val="44"/>
          <w:szCs w:val="44"/>
          <w:lang w:bidi="ar"/>
        </w:rPr>
        <w:t>试点版)</w:t>
      </w:r>
    </w:p>
    <w:p>
      <w:pPr>
        <w:jc w:val="center"/>
        <w:outlineLvl w:val="0"/>
        <w:rPr>
          <w:rFonts w:hint="eastAsia" w:ascii="楷体" w:hAnsi="楷体" w:eastAsia="楷体" w:cs="楷体"/>
          <w:b/>
          <w:kern w:val="0"/>
          <w:sz w:val="44"/>
          <w:szCs w:val="44"/>
          <w:lang w:eastAsia="zh-CN" w:bidi="ar"/>
        </w:rPr>
      </w:pPr>
      <w:r>
        <w:rPr>
          <w:rFonts w:ascii="楷体" w:hAnsi="楷体" w:eastAsia="楷体" w:cs="楷体"/>
          <w:b/>
          <w:kern w:val="0"/>
          <w:sz w:val="44"/>
          <w:szCs w:val="44"/>
          <w:lang w:bidi="ar"/>
        </w:rPr>
        <w:t>2</w:t>
      </w:r>
      <w:r>
        <w:rPr>
          <w:rFonts w:hint="eastAsia" w:ascii="楷体" w:hAnsi="楷体" w:eastAsia="楷体" w:cs="楷体"/>
          <w:b/>
          <w:kern w:val="0"/>
          <w:sz w:val="44"/>
          <w:szCs w:val="44"/>
          <w:lang w:bidi="ar"/>
        </w:rPr>
        <w:t>0</w:t>
      </w:r>
      <w:r>
        <w:rPr>
          <w:rFonts w:ascii="楷体" w:hAnsi="楷体" w:eastAsia="楷体" w:cs="楷体"/>
          <w:b/>
          <w:kern w:val="0"/>
          <w:sz w:val="44"/>
          <w:szCs w:val="44"/>
          <w:lang w:bidi="ar"/>
        </w:rPr>
        <w:t>12</w:t>
      </w:r>
      <w:r>
        <w:rPr>
          <w:rFonts w:hint="eastAsia" w:ascii="楷体" w:hAnsi="楷体" w:eastAsia="楷体" w:cs="楷体"/>
          <w:b/>
          <w:kern w:val="0"/>
          <w:sz w:val="44"/>
          <w:szCs w:val="44"/>
          <w:lang w:bidi="ar"/>
        </w:rPr>
        <w:t>6开具税收完税证明</w:t>
      </w:r>
      <w:r>
        <w:rPr>
          <w:rFonts w:hint="eastAsia" w:ascii="楷体" w:hAnsi="楷体" w:eastAsia="楷体" w:cs="楷体"/>
          <w:b/>
          <w:kern w:val="0"/>
          <w:sz w:val="44"/>
          <w:szCs w:val="44"/>
          <w:lang w:eastAsia="zh-CN" w:bidi="ar"/>
        </w:rPr>
        <w:t>（</w:t>
      </w:r>
      <w:r>
        <w:rPr>
          <w:rFonts w:hint="eastAsia" w:ascii="楷体" w:hAnsi="楷体" w:eastAsia="楷体" w:cs="楷体"/>
          <w:b/>
          <w:kern w:val="0"/>
          <w:sz w:val="44"/>
          <w:szCs w:val="44"/>
          <w:lang w:val="en-US" w:eastAsia="zh-CN" w:bidi="ar"/>
        </w:rPr>
        <w:t>文书式</w:t>
      </w:r>
      <w:r>
        <w:rPr>
          <w:rFonts w:hint="eastAsia" w:ascii="楷体" w:hAnsi="楷体" w:eastAsia="楷体" w:cs="楷体"/>
          <w:b/>
          <w:kern w:val="0"/>
          <w:sz w:val="44"/>
          <w:szCs w:val="44"/>
          <w:lang w:eastAsia="zh-CN" w:bidi="ar"/>
        </w:rPr>
        <w:t>）</w:t>
      </w:r>
    </w:p>
    <w:p>
      <w:pPr>
        <w:jc w:val="center"/>
        <w:outlineLvl w:val="0"/>
        <w:rPr>
          <w:rFonts w:hint="eastAsia" w:ascii="楷体" w:hAnsi="楷体" w:eastAsia="楷体" w:cs="楷体"/>
          <w:b/>
          <w:kern w:val="0"/>
          <w:sz w:val="44"/>
          <w:szCs w:val="44"/>
          <w:lang w:val="en-US" w:eastAsia="zh-CN" w:bidi="ar"/>
        </w:rPr>
      </w:pPr>
      <w:r>
        <w:rPr>
          <w:rFonts w:hint="eastAsia" w:ascii="楷体" w:hAnsi="楷体" w:eastAsia="楷体" w:cs="楷体"/>
          <w:b/>
          <w:kern w:val="0"/>
          <w:sz w:val="44"/>
          <w:szCs w:val="44"/>
          <w:lang w:eastAsia="zh-CN" w:bidi="ar"/>
        </w:rPr>
        <w:t>（</w:t>
      </w:r>
      <w:r>
        <w:rPr>
          <w:rFonts w:hint="eastAsia" w:ascii="楷体" w:hAnsi="楷体" w:eastAsia="楷体" w:cs="楷体"/>
          <w:b/>
          <w:kern w:val="0"/>
          <w:sz w:val="44"/>
          <w:szCs w:val="44"/>
          <w:lang w:val="en-US" w:eastAsia="zh-CN" w:bidi="ar"/>
        </w:rPr>
        <w:t>纳服处</w:t>
      </w:r>
      <w:r>
        <w:rPr>
          <w:rFonts w:hint="eastAsia" w:ascii="楷体" w:hAnsi="楷体" w:eastAsia="楷体" w:cs="楷体"/>
          <w:b/>
          <w:kern w:val="0"/>
          <w:sz w:val="44"/>
          <w:szCs w:val="44"/>
          <w:lang w:eastAsia="zh-CN" w:bidi="ar"/>
        </w:rPr>
        <w:t>）</w:t>
      </w:r>
    </w:p>
    <w:p>
      <w:r>
        <w:rPr>
          <w:rFonts w:ascii="楷体" w:hAnsi="楷体" w:eastAsia="楷体" w:cs="楷体"/>
          <w:b/>
          <w:kern w:val="0"/>
          <w:sz w:val="44"/>
          <w:szCs w:val="44"/>
          <w:lang w:bidi="ar"/>
        </w:rPr>
        <w:br w:type="page"/>
      </w:r>
      <w:bookmarkStart w:id="0" w:name="_GoBack"/>
      <w:bookmarkEnd w:id="0"/>
    </w:p>
    <w:p>
      <w:pPr>
        <w:pStyle w:val="3"/>
        <w:numPr>
          <w:ilvl w:val="0"/>
          <w:numId w:val="2"/>
        </w:numPr>
        <w:rPr>
          <w:rFonts w:ascii="黑体" w:hAnsi="黑体" w:cs="黑体"/>
          <w:b w:val="0"/>
          <w:bCs/>
          <w:szCs w:val="32"/>
        </w:rPr>
      </w:pPr>
      <w:r>
        <w:rPr>
          <w:rFonts w:hint="eastAsia" w:ascii="Arial" w:hAnsi="Arial"/>
          <w:b w:val="0"/>
          <w:bCs/>
          <w:kern w:val="2"/>
          <w:szCs w:val="32"/>
        </w:rPr>
        <w:t>业务概述</w:t>
      </w:r>
    </w:p>
    <w:p>
      <w:pPr>
        <w:pStyle w:val="10"/>
        <w:bidi w:val="0"/>
      </w:pPr>
      <w:r>
        <w:rPr>
          <w:rFonts w:hint="eastAsia"/>
        </w:rPr>
        <w:t>税收完税证明是税务机关为证明纳税人已经缴纳税款或者已经退还纳税人税款而开具的税收票证。纳税人符合下列情形之一的，可以申请开具税收完税证明：</w:t>
      </w:r>
    </w:p>
    <w:p>
      <w:pPr>
        <w:pStyle w:val="10"/>
        <w:bidi w:val="0"/>
      </w:pPr>
      <w:r>
        <w:rPr>
          <w:rFonts w:hint="eastAsia"/>
        </w:rPr>
        <w:t>（1）通过横向联网电子缴税系统划缴税款到国库（经收处）后或收到从国库退还的税款后，当场或事后需要取得税收票证的。</w:t>
      </w:r>
    </w:p>
    <w:p>
      <w:pPr>
        <w:pStyle w:val="10"/>
        <w:bidi w:val="0"/>
      </w:pPr>
      <w:r>
        <w:rPr>
          <w:rFonts w:hint="eastAsia"/>
        </w:rPr>
        <w:t>（2）扣缴义务人代扣、代收税款后，已经向纳税人开具税法规定或国家税务总局认可的记载完税情况的其他凭证，纳税人需要换开正式完税凭证的。</w:t>
      </w:r>
    </w:p>
    <w:p>
      <w:pPr>
        <w:pStyle w:val="10"/>
        <w:bidi w:val="0"/>
      </w:pPr>
      <w:r>
        <w:rPr>
          <w:rFonts w:hint="eastAsia"/>
        </w:rPr>
        <w:t>（3）纳税人遗失已完税的各种税收票证（《出口货物完税分割单》、印花税票和《印花税票销售凭证》除外），需要重新开具的。</w:t>
      </w:r>
    </w:p>
    <w:p>
      <w:pPr>
        <w:pStyle w:val="10"/>
        <w:bidi w:val="0"/>
      </w:pPr>
      <w:r>
        <w:rPr>
          <w:rFonts w:hint="eastAsia"/>
        </w:rPr>
        <w:t>（4）对纳税人特定期间完税情况出具证明的。</w:t>
      </w:r>
    </w:p>
    <w:p>
      <w:pPr>
        <w:pStyle w:val="10"/>
        <w:bidi w:val="0"/>
      </w:pPr>
      <w:r>
        <w:rPr>
          <w:rFonts w:hint="eastAsia"/>
        </w:rPr>
        <w:t>（5）国家税务总局规定的其他需要为纳税人开具完税凭证情形。</w:t>
      </w:r>
    </w:p>
    <w:p>
      <w:pPr>
        <w:pStyle w:val="3"/>
        <w:ind w:firstLine="640" w:firstLineChars="200"/>
        <w:rPr>
          <w:b w:val="0"/>
          <w:bCs/>
        </w:rPr>
      </w:pPr>
      <w:r>
        <w:rPr>
          <w:rFonts w:hint="eastAsia"/>
          <w:b w:val="0"/>
          <w:bCs/>
        </w:rPr>
        <w:t>二、办理流程</w:t>
      </w:r>
    </w:p>
    <w:p>
      <w:pPr>
        <w:ind w:firstLine="640" w:firstLineChars="200"/>
        <w:rPr>
          <w:rFonts w:hint="eastAsia"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即时办结。</w:t>
      </w:r>
    </w:p>
    <w:p>
      <w:pPr>
        <w:pStyle w:val="3"/>
        <w:ind w:firstLine="640" w:firstLineChars="200"/>
        <w:rPr>
          <w:rFonts w:ascii="黑体" w:hAnsi="黑体" w:cs="黑体"/>
          <w:b w:val="0"/>
          <w:bCs/>
          <w:szCs w:val="32"/>
        </w:rPr>
      </w:pPr>
      <w:r>
        <w:rPr>
          <w:rFonts w:hint="eastAsia"/>
          <w:b w:val="0"/>
          <w:bCs/>
        </w:rPr>
        <w:t>三、关联场景</w:t>
      </w:r>
    </w:p>
    <w:tbl>
      <w:tblPr>
        <w:tblStyle w:val="8"/>
        <w:tblW w:w="850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38"/>
        <w:gridCol w:w="1250"/>
        <w:gridCol w:w="1034"/>
        <w:gridCol w:w="1666"/>
        <w:gridCol w:w="42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jc w:val="center"/>
        </w:trPr>
        <w:tc>
          <w:tcPr>
            <w:tcW w:w="338" w:type="dxa"/>
            <w:shd w:val="clear" w:color="auto" w:fill="DBE5F1"/>
            <w:vAlign w:val="center"/>
          </w:tcPr>
          <w:p>
            <w:pPr>
              <w:pStyle w:val="20"/>
              <w:spacing w:before="326" w:after="326"/>
              <w:rPr>
                <w:rFonts w:ascii="宋体" w:hAnsi="宋体" w:cs="微软雅黑"/>
                <w:sz w:val="21"/>
                <w:szCs w:val="21"/>
              </w:rPr>
            </w:pPr>
            <w:r>
              <w:rPr>
                <w:rFonts w:hint="eastAsia" w:ascii="宋体" w:hAnsi="宋体" w:cs="微软雅黑"/>
                <w:sz w:val="21"/>
                <w:szCs w:val="21"/>
              </w:rPr>
              <w:t>场景编号</w:t>
            </w:r>
          </w:p>
        </w:tc>
        <w:tc>
          <w:tcPr>
            <w:tcW w:w="1250" w:type="dxa"/>
            <w:shd w:val="clear" w:color="auto" w:fill="DBE5F1"/>
            <w:vAlign w:val="center"/>
          </w:tcPr>
          <w:p>
            <w:pPr>
              <w:pStyle w:val="20"/>
              <w:spacing w:before="326" w:after="326"/>
              <w:rPr>
                <w:rFonts w:ascii="宋体" w:hAnsi="宋体" w:cs="微软雅黑"/>
                <w:sz w:val="21"/>
                <w:szCs w:val="21"/>
              </w:rPr>
            </w:pPr>
            <w:r>
              <w:rPr>
                <w:rFonts w:hint="eastAsia" w:ascii="宋体" w:hAnsi="宋体" w:cs="微软雅黑"/>
                <w:sz w:val="21"/>
                <w:szCs w:val="21"/>
              </w:rPr>
              <w:t>场景顺序</w:t>
            </w:r>
          </w:p>
        </w:tc>
        <w:tc>
          <w:tcPr>
            <w:tcW w:w="1034" w:type="dxa"/>
            <w:shd w:val="clear" w:color="auto" w:fill="DBE5F1"/>
            <w:vAlign w:val="center"/>
          </w:tcPr>
          <w:p>
            <w:pPr>
              <w:pStyle w:val="20"/>
              <w:spacing w:before="326" w:after="326"/>
              <w:rPr>
                <w:rFonts w:ascii="宋体" w:hAnsi="宋体" w:cs="微软雅黑"/>
                <w:sz w:val="21"/>
                <w:szCs w:val="21"/>
              </w:rPr>
            </w:pPr>
            <w:r>
              <w:rPr>
                <w:rFonts w:hint="eastAsia" w:ascii="宋体" w:hAnsi="宋体" w:cs="微软雅黑"/>
                <w:sz w:val="21"/>
                <w:szCs w:val="21"/>
              </w:rPr>
              <w:t>是否强制关联</w:t>
            </w:r>
          </w:p>
        </w:tc>
        <w:tc>
          <w:tcPr>
            <w:tcW w:w="1666" w:type="dxa"/>
            <w:shd w:val="clear" w:color="auto" w:fill="DBE5F1"/>
            <w:vAlign w:val="center"/>
          </w:tcPr>
          <w:p>
            <w:pPr>
              <w:pStyle w:val="20"/>
              <w:spacing w:before="326" w:after="326"/>
              <w:rPr>
                <w:rFonts w:ascii="宋体" w:hAnsi="宋体" w:cs="微软雅黑"/>
                <w:sz w:val="21"/>
                <w:szCs w:val="21"/>
              </w:rPr>
            </w:pPr>
            <w:r>
              <w:rPr>
                <w:rFonts w:hint="eastAsia" w:ascii="宋体" w:hAnsi="宋体" w:cs="微软雅黑"/>
                <w:sz w:val="21"/>
                <w:szCs w:val="21"/>
              </w:rPr>
              <w:t>场景名称</w:t>
            </w:r>
          </w:p>
        </w:tc>
        <w:tc>
          <w:tcPr>
            <w:tcW w:w="4214" w:type="dxa"/>
            <w:shd w:val="clear" w:color="auto" w:fill="DBE5F1"/>
            <w:vAlign w:val="center"/>
          </w:tcPr>
          <w:p>
            <w:pPr>
              <w:pStyle w:val="20"/>
              <w:spacing w:before="326" w:after="326"/>
              <w:rPr>
                <w:rFonts w:ascii="宋体" w:hAnsi="宋体" w:cs="微软雅黑"/>
                <w:sz w:val="21"/>
                <w:szCs w:val="21"/>
              </w:rPr>
            </w:pPr>
            <w:r>
              <w:rPr>
                <w:rFonts w:hint="eastAsia" w:ascii="宋体" w:hAnsi="宋体" w:cs="微软雅黑"/>
                <w:sz w:val="21"/>
                <w:szCs w:val="21"/>
              </w:rPr>
              <w:t>关联关系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38" w:type="dxa"/>
            <w:shd w:val="clear" w:color="auto" w:fill="auto"/>
            <w:vAlign w:val="center"/>
          </w:tcPr>
          <w:p>
            <w:pPr>
              <w:pStyle w:val="12"/>
              <w:bidi w:val="0"/>
            </w:pPr>
            <w:r>
              <w:rPr>
                <w:rFonts w:hint="eastAsia"/>
              </w:rPr>
              <w:t>1</w:t>
            </w:r>
          </w:p>
        </w:tc>
        <w:tc>
          <w:tcPr>
            <w:tcW w:w="1250" w:type="dxa"/>
            <w:shd w:val="clear" w:color="auto" w:fill="auto"/>
            <w:vAlign w:val="center"/>
          </w:tcPr>
          <w:p>
            <w:pPr>
              <w:pStyle w:val="12"/>
              <w:bidi w:val="0"/>
            </w:pPr>
            <w:r>
              <w:rPr>
                <w:rFonts w:hint="eastAsia"/>
              </w:rPr>
              <w:t>前续场景</w:t>
            </w:r>
          </w:p>
        </w:tc>
        <w:tc>
          <w:tcPr>
            <w:tcW w:w="1034" w:type="dxa"/>
            <w:shd w:val="clear" w:color="auto" w:fill="auto"/>
            <w:vAlign w:val="center"/>
          </w:tcPr>
          <w:p>
            <w:pPr>
              <w:pStyle w:val="12"/>
              <w:bidi w:val="0"/>
            </w:pPr>
            <w:r>
              <w:rPr>
                <w:rFonts w:hint="eastAsia"/>
              </w:rPr>
              <w:t>强制</w:t>
            </w:r>
          </w:p>
        </w:tc>
        <w:tc>
          <w:tcPr>
            <w:tcW w:w="1666" w:type="dxa"/>
            <w:shd w:val="clear" w:color="auto" w:fill="auto"/>
            <w:vAlign w:val="center"/>
          </w:tcPr>
          <w:p>
            <w:pPr>
              <w:pStyle w:val="12"/>
              <w:bidi w:val="0"/>
            </w:pPr>
            <w:r>
              <w:rPr>
                <w:rFonts w:hint="eastAsia"/>
              </w:rPr>
              <w:t>缴纳税款</w:t>
            </w:r>
          </w:p>
        </w:tc>
        <w:tc>
          <w:tcPr>
            <w:tcW w:w="4214" w:type="dxa"/>
            <w:shd w:val="clear" w:color="auto" w:fill="auto"/>
            <w:vAlign w:val="center"/>
          </w:tcPr>
          <w:p>
            <w:pPr>
              <w:pStyle w:val="12"/>
              <w:bidi w:val="0"/>
              <w:jc w:val="left"/>
            </w:pPr>
            <w:r>
              <w:rPr>
                <w:rFonts w:hint="eastAsia"/>
              </w:rPr>
              <w:t>已经缴纳税款或者已经退还纳税人税款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38" w:type="dxa"/>
            <w:shd w:val="clear" w:color="auto" w:fill="auto"/>
            <w:vAlign w:val="center"/>
          </w:tcPr>
          <w:p>
            <w:pPr>
              <w:pStyle w:val="12"/>
              <w:bidi w:val="0"/>
            </w:pPr>
            <w:r>
              <w:t>2</w:t>
            </w:r>
          </w:p>
        </w:tc>
        <w:tc>
          <w:tcPr>
            <w:tcW w:w="1250" w:type="dxa"/>
            <w:shd w:val="clear" w:color="auto" w:fill="auto"/>
            <w:vAlign w:val="center"/>
          </w:tcPr>
          <w:p>
            <w:pPr>
              <w:pStyle w:val="12"/>
              <w:bidi w:val="0"/>
            </w:pPr>
            <w:r>
              <w:rPr>
                <w:rFonts w:hint="eastAsia"/>
              </w:rPr>
              <w:t>后续场景</w:t>
            </w:r>
          </w:p>
        </w:tc>
        <w:tc>
          <w:tcPr>
            <w:tcW w:w="1034" w:type="dxa"/>
            <w:shd w:val="clear" w:color="auto" w:fill="auto"/>
            <w:vAlign w:val="center"/>
          </w:tcPr>
          <w:p>
            <w:pPr>
              <w:pStyle w:val="12"/>
              <w:bidi w:val="0"/>
            </w:pPr>
            <w:r>
              <w:rPr>
                <w:rFonts w:hint="eastAsia"/>
              </w:rPr>
              <w:t>非强制</w:t>
            </w:r>
          </w:p>
        </w:tc>
        <w:tc>
          <w:tcPr>
            <w:tcW w:w="1666" w:type="dxa"/>
            <w:shd w:val="clear" w:color="auto" w:fill="auto"/>
            <w:vAlign w:val="center"/>
          </w:tcPr>
          <w:p>
            <w:pPr>
              <w:pStyle w:val="12"/>
              <w:bidi w:val="0"/>
            </w:pPr>
            <w:r>
              <w:rPr>
                <w:rFonts w:hint="eastAsia"/>
              </w:rPr>
              <w:t>税收完税证明查验</w:t>
            </w:r>
          </w:p>
        </w:tc>
        <w:tc>
          <w:tcPr>
            <w:tcW w:w="4214" w:type="dxa"/>
            <w:shd w:val="clear" w:color="auto" w:fill="auto"/>
            <w:vAlign w:val="center"/>
          </w:tcPr>
          <w:p>
            <w:pPr>
              <w:pStyle w:val="12"/>
              <w:bidi w:val="0"/>
              <w:jc w:val="left"/>
            </w:pPr>
            <w:r>
              <w:rPr>
                <w:rFonts w:hint="eastAsia"/>
              </w:rPr>
              <w:t>证明左上角增加二维码，手机扫描后即可跳转到电子税务局“全国税收票证查验”功能，录入查询条件后展示查询结果。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38" w:type="dxa"/>
            <w:shd w:val="clear" w:color="auto" w:fill="auto"/>
            <w:vAlign w:val="center"/>
          </w:tcPr>
          <w:p>
            <w:pPr>
              <w:pStyle w:val="12"/>
              <w:bidi w:val="0"/>
            </w:pPr>
            <w:r>
              <w:t>3</w:t>
            </w:r>
          </w:p>
        </w:tc>
        <w:tc>
          <w:tcPr>
            <w:tcW w:w="1250" w:type="dxa"/>
            <w:shd w:val="clear" w:color="auto" w:fill="auto"/>
            <w:vAlign w:val="center"/>
          </w:tcPr>
          <w:p>
            <w:pPr>
              <w:pStyle w:val="12"/>
              <w:bidi w:val="0"/>
            </w:pPr>
            <w:r>
              <w:rPr>
                <w:rFonts w:hint="eastAsia"/>
              </w:rPr>
              <w:t>后序场景</w:t>
            </w:r>
          </w:p>
        </w:tc>
        <w:tc>
          <w:tcPr>
            <w:tcW w:w="1034" w:type="dxa"/>
            <w:shd w:val="clear" w:color="auto" w:fill="auto"/>
            <w:vAlign w:val="center"/>
          </w:tcPr>
          <w:p>
            <w:pPr>
              <w:pStyle w:val="12"/>
              <w:bidi w:val="0"/>
            </w:pPr>
            <w:r>
              <w:rPr>
                <w:rFonts w:hint="eastAsia"/>
              </w:rPr>
              <w:t>非强制</w:t>
            </w:r>
          </w:p>
        </w:tc>
        <w:tc>
          <w:tcPr>
            <w:tcW w:w="1666" w:type="dxa"/>
            <w:shd w:val="clear" w:color="auto" w:fill="auto"/>
            <w:vAlign w:val="center"/>
          </w:tcPr>
          <w:p>
            <w:pPr>
              <w:pStyle w:val="12"/>
              <w:bidi w:val="0"/>
            </w:pPr>
            <w:r>
              <w:rPr>
                <w:rFonts w:hint="eastAsia"/>
              </w:rPr>
              <w:t>办税进度及事项查询</w:t>
            </w:r>
          </w:p>
        </w:tc>
        <w:tc>
          <w:tcPr>
            <w:tcW w:w="4214" w:type="dxa"/>
            <w:shd w:val="clear" w:color="auto" w:fill="auto"/>
            <w:vAlign w:val="center"/>
          </w:tcPr>
          <w:p>
            <w:pPr>
              <w:pStyle w:val="12"/>
              <w:bidi w:val="0"/>
              <w:jc w:val="left"/>
            </w:pPr>
            <w:r>
              <w:rPr>
                <w:rFonts w:hint="eastAsia"/>
              </w:rPr>
              <w:t>办理进度及下载文书查询</w:t>
            </w:r>
          </w:p>
        </w:tc>
      </w:tr>
    </w:tbl>
    <w:p>
      <w:pPr>
        <w:pStyle w:val="3"/>
        <w:ind w:firstLine="640" w:firstLineChars="200"/>
        <w:rPr>
          <w:rFonts w:ascii="黑体" w:hAnsi="黑体" w:cs="黑体"/>
          <w:b w:val="0"/>
          <w:bCs/>
        </w:rPr>
      </w:pPr>
      <w:r>
        <w:rPr>
          <w:rFonts w:hint="eastAsia"/>
          <w:b w:val="0"/>
          <w:bCs/>
        </w:rPr>
        <w:t>四、功能路径</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1．</w:t>
      </w:r>
      <w:r>
        <w:rPr>
          <w:rFonts w:hint="eastAsia"/>
        </w:rPr>
        <w:t>【我要办税】-【证明开具】-【开具税收完税证明】</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2．</w:t>
      </w:r>
      <w:r>
        <w:rPr>
          <w:rFonts w:hint="eastAsia"/>
        </w:rPr>
        <w:t>税费缴纳功能的缴款成功界面推荐业务-</w:t>
      </w:r>
      <w:r>
        <w:rPr>
          <w:rFonts w:hint="eastAsia"/>
          <w:lang w:eastAsia="zh-CN"/>
        </w:rPr>
        <w:t>【</w:t>
      </w:r>
      <w:r>
        <w:rPr>
          <w:rFonts w:hint="eastAsia"/>
        </w:rPr>
        <w:t>转开税收完税证明</w:t>
      </w:r>
      <w:r>
        <w:rPr>
          <w:rFonts w:hint="eastAsia"/>
          <w:lang w:eastAsia="zh-CN"/>
        </w:rPr>
        <w:t>】</w:t>
      </w:r>
      <w:r>
        <w:rPr>
          <w:rFonts w:hint="eastAsia"/>
          <w:lang w:val="en-US" w:eastAsia="zh-CN"/>
        </w:rPr>
        <w:t>-</w:t>
      </w:r>
      <w:r>
        <w:rPr>
          <w:rFonts w:hint="eastAsia"/>
        </w:rPr>
        <w:t>【去办理】</w:t>
      </w:r>
    </w:p>
    <w:p>
      <w:pPr>
        <w:pStyle w:val="11"/>
        <w:numPr>
          <w:ilvl w:val="0"/>
          <w:numId w:val="0"/>
        </w:numPr>
        <w:bidi w:val="0"/>
        <w:ind w:left="0" w:leftChars="0" w:firstLine="640" w:firstLineChars="200"/>
        <w:rPr>
          <w:rFonts w:hint="eastAsia"/>
        </w:rPr>
      </w:pPr>
      <w:r>
        <w:rPr>
          <w:rFonts w:hint="default" w:ascii="Calibri" w:hAnsi="Calibri" w:eastAsia="华文仿宋" w:cs="Times New Roman"/>
          <w:kern w:val="2"/>
          <w:sz w:val="32"/>
          <w:szCs w:val="24"/>
          <w:lang w:val="en-US" w:eastAsia="zh-CN" w:bidi="ar-SA"/>
        </w:rPr>
        <w:t>3．</w:t>
      </w:r>
      <w:r>
        <w:rPr>
          <w:rFonts w:hint="eastAsia"/>
        </w:rPr>
        <w:t>通过首页搜索栏输入关键字查找。</w:t>
      </w:r>
    </w:p>
    <w:p>
      <w:pPr>
        <w:pStyle w:val="3"/>
        <w:ind w:firstLine="640" w:firstLineChars="200"/>
        <w:rPr>
          <w:rFonts w:ascii="黑体" w:hAnsi="黑体" w:cs="黑体"/>
          <w:b w:val="0"/>
          <w:bCs/>
          <w:szCs w:val="32"/>
          <w:lang w:eastAsia="zh-Hans"/>
        </w:rPr>
      </w:pPr>
      <w:r>
        <w:rPr>
          <w:rFonts w:hint="eastAsia"/>
          <w:b w:val="0"/>
          <w:bCs/>
          <w:szCs w:val="32"/>
        </w:rPr>
        <w:t>五、</w:t>
      </w:r>
      <w:r>
        <w:rPr>
          <w:rFonts w:hint="eastAsia"/>
          <w:b w:val="0"/>
          <w:bCs/>
          <w:szCs w:val="32"/>
          <w:lang w:eastAsia="zh-Hans"/>
        </w:rPr>
        <w:t>操作步骤</w:t>
      </w:r>
    </w:p>
    <w:p>
      <w:pPr>
        <w:pStyle w:val="10"/>
        <w:bidi w:val="0"/>
        <w:rPr>
          <w:rFonts w:hint="eastAsia"/>
          <w:lang w:val="en-US" w:eastAsia="zh-CN"/>
        </w:rPr>
      </w:pPr>
      <w:r>
        <w:rPr>
          <w:rFonts w:hint="eastAsia"/>
          <w:lang w:val="en-US" w:eastAsia="zh-CN"/>
        </w:rPr>
        <w:t>1.登录新电子税局后，点击【我要办税】-【证明开具】-【开具税收完税证明】功能菜单。</w:t>
      </w: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5266690" cy="2515235"/>
            <wp:effectExtent l="0" t="0" r="10160" b="18415"/>
            <wp:docPr id="6" name="图片 6" descr="29baf994a3559a59364ff53fcfff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baf994a3559a59364ff53fcfffba5"/>
                    <pic:cNvPicPr>
                      <a:picLocks noChangeAspect="1"/>
                    </pic:cNvPicPr>
                  </pic:nvPicPr>
                  <pic:blipFill>
                    <a:blip r:embed="rId4"/>
                    <a:stretch>
                      <a:fillRect/>
                    </a:stretch>
                  </pic:blipFill>
                  <pic:spPr>
                    <a:xfrm>
                      <a:off x="0" y="0"/>
                      <a:ext cx="5266690" cy="2515235"/>
                    </a:xfrm>
                    <a:prstGeom prst="rect">
                      <a:avLst/>
                    </a:prstGeom>
                  </pic:spPr>
                </pic:pic>
              </a:graphicData>
            </a:graphic>
          </wp:inline>
        </w:drawing>
      </w:r>
    </w:p>
    <w:p>
      <w:pPr>
        <w:pStyle w:val="11"/>
        <w:numPr>
          <w:ilvl w:val="0"/>
          <w:numId w:val="0"/>
        </w:numPr>
        <w:bidi w:val="0"/>
        <w:ind w:firstLine="640" w:firstLineChars="200"/>
        <w:rPr>
          <w:rFonts w:hint="eastAsia"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2.选择查询方式为：税（费）属期（或缴（退）款时间）。选择缴退款时间起和缴退款时间止（或税款所属期起、税款所属期止），选择开具类型为明细（或汇总），点击【查询】。</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5266690" cy="2520950"/>
            <wp:effectExtent l="0" t="0" r="10160" b="12700"/>
            <wp:docPr id="7" name="图片 7" descr="6eb4cb7a1f23a8fe0fac9d25cca9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b4cb7a1f23a8fe0fac9d25cca9d18"/>
                    <pic:cNvPicPr>
                      <a:picLocks noChangeAspect="1"/>
                    </pic:cNvPicPr>
                  </pic:nvPicPr>
                  <pic:blipFill>
                    <a:blip r:embed="rId5"/>
                    <a:stretch>
                      <a:fillRect/>
                    </a:stretch>
                  </pic:blipFill>
                  <pic:spPr>
                    <a:xfrm>
                      <a:off x="0" y="0"/>
                      <a:ext cx="5266690" cy="2520950"/>
                    </a:xfrm>
                    <a:prstGeom prst="rect">
                      <a:avLst/>
                    </a:prstGeom>
                  </pic:spPr>
                </pic:pic>
              </a:graphicData>
            </a:graphic>
          </wp:inline>
        </w:drawing>
      </w:r>
    </w:p>
    <w:p>
      <w:pPr>
        <w:pStyle w:val="11"/>
        <w:numPr>
          <w:ilvl w:val="0"/>
          <w:numId w:val="0"/>
        </w:numPr>
        <w:bidi w:val="0"/>
        <w:ind w:left="0" w:leftChars="0" w:firstLine="640" w:firstLineChars="200"/>
        <w:rPr>
          <w:lang w:eastAsia="zh-Hans"/>
        </w:rPr>
      </w:pPr>
      <w:r>
        <w:rPr>
          <w:rFonts w:hint="eastAsia" w:cs="Times New Roman"/>
          <w:kern w:val="2"/>
          <w:sz w:val="32"/>
          <w:szCs w:val="24"/>
          <w:lang w:val="en-US" w:eastAsia="zh-CN" w:bidi="ar-SA"/>
        </w:rPr>
        <w:t>3</w:t>
      </w:r>
      <w:r>
        <w:rPr>
          <w:rFonts w:hint="default" w:ascii="Calibri" w:hAnsi="Calibri" w:eastAsia="华文仿宋" w:cs="Times New Roman"/>
          <w:kern w:val="2"/>
          <w:sz w:val="32"/>
          <w:szCs w:val="24"/>
          <w:lang w:val="en-US" w:eastAsia="zh-Hans" w:bidi="ar-SA"/>
        </w:rPr>
        <w:t>．</w:t>
      </w:r>
      <w:r>
        <w:rPr>
          <w:rFonts w:hint="eastAsia"/>
          <w:lang w:eastAsia="zh-CN"/>
        </w:rPr>
        <w:t>查询出</w:t>
      </w:r>
      <w:r>
        <w:rPr>
          <w:rFonts w:hint="eastAsia"/>
        </w:rPr>
        <w:t>可开具完税证明的凭证信息，</w:t>
      </w:r>
      <w:r>
        <w:rPr>
          <w:rFonts w:hint="eastAsia"/>
          <w:lang w:eastAsia="zh-CN"/>
        </w:rPr>
        <w:t>并</w:t>
      </w:r>
      <w:r>
        <w:rPr>
          <w:rFonts w:hint="eastAsia"/>
        </w:rPr>
        <w:t>勾选需要开具完税证明的凭证信息</w:t>
      </w:r>
      <w:r>
        <w:rPr>
          <w:rFonts w:hint="eastAsia"/>
          <w:lang w:eastAsia="zh-Hans"/>
        </w:rPr>
        <w:t>。</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5266690" cy="2523490"/>
            <wp:effectExtent l="0" t="0" r="10160" b="10160"/>
            <wp:docPr id="8" name="图片 8" descr="25b0dffcb8243ce2cddb2dacaa4c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b0dffcb8243ce2cddb2dacaa4cb3e"/>
                    <pic:cNvPicPr>
                      <a:picLocks noChangeAspect="1"/>
                    </pic:cNvPicPr>
                  </pic:nvPicPr>
                  <pic:blipFill>
                    <a:blip r:embed="rId6"/>
                    <a:stretch>
                      <a:fillRect/>
                    </a:stretch>
                  </pic:blipFill>
                  <pic:spPr>
                    <a:xfrm>
                      <a:off x="0" y="0"/>
                      <a:ext cx="5266690" cy="2523490"/>
                    </a:xfrm>
                    <a:prstGeom prst="rect">
                      <a:avLst/>
                    </a:prstGeom>
                  </pic:spPr>
                </pic:pic>
              </a:graphicData>
            </a:graphic>
          </wp:inline>
        </w:drawing>
      </w:r>
    </w:p>
    <w:p>
      <w:pPr>
        <w:pStyle w:val="11"/>
        <w:numPr>
          <w:ilvl w:val="0"/>
          <w:numId w:val="0"/>
        </w:numPr>
        <w:bidi w:val="0"/>
        <w:ind w:left="0" w:leftChars="0" w:firstLine="640" w:firstLineChars="200"/>
      </w:pPr>
      <w:r>
        <w:rPr>
          <w:rFonts w:hint="eastAsia" w:cs="Times New Roman"/>
          <w:kern w:val="2"/>
          <w:sz w:val="32"/>
          <w:szCs w:val="24"/>
          <w:lang w:val="en-US" w:eastAsia="zh-CN" w:bidi="ar-SA"/>
        </w:rPr>
        <w:t>4</w:t>
      </w:r>
      <w:r>
        <w:rPr>
          <w:rFonts w:hint="default" w:ascii="Calibri" w:hAnsi="Calibri" w:eastAsia="华文仿宋" w:cs="Times New Roman"/>
          <w:kern w:val="2"/>
          <w:sz w:val="32"/>
          <w:szCs w:val="24"/>
          <w:lang w:val="en-US" w:eastAsia="zh-CN" w:bidi="ar-SA"/>
        </w:rPr>
        <w:t>．</w:t>
      </w:r>
      <w:r>
        <w:rPr>
          <w:rFonts w:hint="eastAsia"/>
        </w:rPr>
        <w:t>纳税人可以选择直接开具或预览税收完税证明后开具</w:t>
      </w:r>
      <w:r>
        <w:rPr>
          <w:rFonts w:hint="eastAsia"/>
          <w:lang w:eastAsia="zh-CN"/>
        </w:rPr>
        <w:t>。</w:t>
      </w:r>
    </w:p>
    <w:p>
      <w:pPr>
        <w:pStyle w:val="10"/>
        <w:bidi w:val="0"/>
        <w:rPr>
          <w:rFonts w:hint="eastAsia"/>
        </w:rPr>
      </w:pPr>
      <w:r>
        <w:rPr>
          <w:rFonts w:hint="eastAsia"/>
          <w:lang w:val="en-US" w:eastAsia="zh-CN"/>
        </w:rPr>
        <w:t>4.1</w:t>
      </w:r>
      <w:r>
        <w:rPr>
          <w:rFonts w:hint="eastAsia"/>
        </w:rPr>
        <w:t>直接开具。</w:t>
      </w:r>
    </w:p>
    <w:p>
      <w:pPr>
        <w:pStyle w:val="10"/>
        <w:bidi w:val="0"/>
        <w:rPr>
          <w:rFonts w:hint="eastAsia"/>
          <w:lang w:eastAsia="zh-CN"/>
        </w:rPr>
      </w:pPr>
      <w:r>
        <w:rPr>
          <w:rFonts w:hint="eastAsia"/>
        </w:rPr>
        <w:t>①点击【开具】</w:t>
      </w:r>
      <w:r>
        <w:rPr>
          <w:rFonts w:hint="eastAsia"/>
          <w:lang w:eastAsia="zh-CN"/>
        </w:rPr>
        <w:t>。</w:t>
      </w:r>
    </w:p>
    <w:p>
      <w:pPr>
        <w:pStyle w:val="10"/>
        <w:bidi w:val="0"/>
        <w:ind w:left="0" w:leftChars="0" w:firstLine="0" w:firstLineChars="0"/>
        <w:rPr>
          <w:rFonts w:hint="eastAsia"/>
          <w:lang w:eastAsia="zh-CN"/>
        </w:rPr>
      </w:pPr>
      <w:r>
        <w:drawing>
          <wp:inline distT="0" distB="0" distL="114300" distR="114300">
            <wp:extent cx="5267960" cy="3433445"/>
            <wp:effectExtent l="0" t="0" r="8890" b="14605"/>
            <wp:docPr id="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pic:cNvPicPr>
                      <a:picLocks noChangeAspect="1"/>
                    </pic:cNvPicPr>
                  </pic:nvPicPr>
                  <pic:blipFill>
                    <a:blip r:embed="rId7"/>
                    <a:stretch>
                      <a:fillRect/>
                    </a:stretch>
                  </pic:blipFill>
                  <pic:spPr>
                    <a:xfrm>
                      <a:off x="0" y="0"/>
                      <a:ext cx="5267960" cy="3433445"/>
                    </a:xfrm>
                    <a:prstGeom prst="rect">
                      <a:avLst/>
                    </a:prstGeom>
                    <a:noFill/>
                    <a:ln>
                      <a:noFill/>
                    </a:ln>
                  </pic:spPr>
                </pic:pic>
              </a:graphicData>
            </a:graphic>
          </wp:inline>
        </w:drawing>
      </w:r>
    </w:p>
    <w:p>
      <w:pPr>
        <w:pStyle w:val="10"/>
        <w:bidi w:val="0"/>
        <w:rPr>
          <w:rFonts w:hint="eastAsia"/>
        </w:rPr>
      </w:pPr>
      <w:r>
        <w:rPr>
          <w:rFonts w:hint="eastAsia"/>
        </w:rPr>
        <w:t>②</w:t>
      </w:r>
      <w:r>
        <w:rPr>
          <w:rFonts w:hint="eastAsia"/>
          <w:lang w:eastAsia="zh-CN"/>
        </w:rPr>
        <w:t>跳转“开具成功”页面。</w:t>
      </w:r>
    </w:p>
    <w:p>
      <w:pPr>
        <w:jc w:val="center"/>
        <w:rPr>
          <w:rFonts w:ascii="华文仿宋" w:hAnsi="华文仿宋" w:eastAsia="华文仿宋" w:cs="华文仿宋"/>
          <w:sz w:val="32"/>
          <w:szCs w:val="32"/>
          <w:lang w:eastAsia="zh-Hans"/>
        </w:rPr>
      </w:pPr>
      <w:r>
        <w:drawing>
          <wp:inline distT="0" distB="0" distL="114300" distR="114300">
            <wp:extent cx="5261610" cy="2515235"/>
            <wp:effectExtent l="0" t="0" r="15240" b="184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5261610" cy="2515235"/>
                    </a:xfrm>
                    <a:prstGeom prst="rect">
                      <a:avLst/>
                    </a:prstGeom>
                    <a:noFill/>
                    <a:ln>
                      <a:noFill/>
                    </a:ln>
                  </pic:spPr>
                </pic:pic>
              </a:graphicData>
            </a:graphic>
          </wp:inline>
        </w:drawing>
      </w:r>
    </w:p>
    <w:p>
      <w:pPr>
        <w:pStyle w:val="10"/>
        <w:bidi w:val="0"/>
      </w:pPr>
      <w:r>
        <w:rPr>
          <w:rFonts w:hint="eastAsia"/>
          <w:lang w:val="en-US" w:eastAsia="zh-CN"/>
        </w:rPr>
        <w:t>4.2</w:t>
      </w:r>
      <w:r>
        <w:rPr>
          <w:rFonts w:hint="eastAsia"/>
        </w:rPr>
        <w:t>预览税收完税证明后开具。</w:t>
      </w:r>
    </w:p>
    <w:p>
      <w:pPr>
        <w:pStyle w:val="10"/>
        <w:bidi w:val="0"/>
        <w:rPr>
          <w:rFonts w:hint="eastAsia"/>
          <w:lang w:val="en-US" w:eastAsia="zh-CN"/>
        </w:rPr>
      </w:pPr>
      <w:r>
        <w:rPr>
          <w:rFonts w:hint="eastAsia"/>
          <w:lang w:val="en-US" w:eastAsia="zh-CN"/>
        </w:rPr>
        <w:t>①</w:t>
      </w:r>
      <w:r>
        <w:rPr>
          <w:rFonts w:hint="eastAsia"/>
          <w:lang w:val="en-US" w:eastAsia="zh-Hans"/>
        </w:rPr>
        <w:t>点击</w:t>
      </w:r>
      <w:r>
        <w:rPr>
          <w:rFonts w:hint="eastAsia"/>
          <w:lang w:val="en-US" w:eastAsia="zh-CN"/>
        </w:rPr>
        <w:t>【预览】。</w:t>
      </w:r>
    </w:p>
    <w:p>
      <w:pPr>
        <w:pStyle w:val="10"/>
        <w:bidi w:val="0"/>
        <w:ind w:left="0" w:leftChars="0" w:firstLine="0" w:firstLineChars="0"/>
        <w:jc w:val="center"/>
        <w:rPr>
          <w:rFonts w:hint="eastAsia"/>
        </w:rPr>
      </w:pPr>
      <w:r>
        <w:drawing>
          <wp:inline distT="0" distB="0" distL="114300" distR="114300">
            <wp:extent cx="5267960" cy="3433445"/>
            <wp:effectExtent l="0" t="0" r="8890" b="14605"/>
            <wp:docPr id="5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4"/>
                    <pic:cNvPicPr>
                      <a:picLocks noChangeAspect="1"/>
                    </pic:cNvPicPr>
                  </pic:nvPicPr>
                  <pic:blipFill>
                    <a:blip r:embed="rId9"/>
                    <a:stretch>
                      <a:fillRect/>
                    </a:stretch>
                  </pic:blipFill>
                  <pic:spPr>
                    <a:xfrm>
                      <a:off x="0" y="0"/>
                      <a:ext cx="5267960" cy="3433445"/>
                    </a:xfrm>
                    <a:prstGeom prst="rect">
                      <a:avLst/>
                    </a:prstGeom>
                    <a:noFill/>
                    <a:ln>
                      <a:noFill/>
                    </a:ln>
                  </pic:spPr>
                </pic:pic>
              </a:graphicData>
            </a:graphic>
          </wp:inline>
        </w:drawing>
      </w:r>
    </w:p>
    <w:p>
      <w:pPr>
        <w:pStyle w:val="10"/>
        <w:bidi w:val="0"/>
        <w:rPr>
          <w:rFonts w:hint="eastAsia"/>
          <w:lang w:val="en-US" w:eastAsia="zh-CN"/>
        </w:rPr>
      </w:pPr>
      <w:r>
        <w:rPr>
          <w:rFonts w:hint="eastAsia"/>
          <w:lang w:val="en-US" w:eastAsia="zh-CN"/>
        </w:rPr>
        <w:t>②系统跳转至“预览开具”页面，确认信息无误后，点击【开具】。</w:t>
      </w:r>
    </w:p>
    <w:p>
      <w:pPr>
        <w:jc w:val="center"/>
        <w:rPr>
          <w:rFonts w:ascii="华文仿宋" w:hAnsi="华文仿宋" w:eastAsia="华文仿宋" w:cs="华文仿宋"/>
          <w:sz w:val="32"/>
          <w:szCs w:val="32"/>
        </w:rPr>
      </w:pPr>
      <w:r>
        <w:drawing>
          <wp:inline distT="0" distB="0" distL="114300" distR="114300">
            <wp:extent cx="5266690" cy="7133590"/>
            <wp:effectExtent l="0" t="0" r="10160" b="10160"/>
            <wp:docPr id="5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5"/>
                    <pic:cNvPicPr>
                      <a:picLocks noChangeAspect="1"/>
                    </pic:cNvPicPr>
                  </pic:nvPicPr>
                  <pic:blipFill>
                    <a:blip r:embed="rId10"/>
                    <a:stretch>
                      <a:fillRect/>
                    </a:stretch>
                  </pic:blipFill>
                  <pic:spPr>
                    <a:xfrm>
                      <a:off x="0" y="0"/>
                      <a:ext cx="5266690" cy="7133590"/>
                    </a:xfrm>
                    <a:prstGeom prst="rect">
                      <a:avLst/>
                    </a:prstGeom>
                    <a:noFill/>
                    <a:ln>
                      <a:noFill/>
                    </a:ln>
                  </pic:spPr>
                </pic:pic>
              </a:graphicData>
            </a:graphic>
          </wp:inline>
        </w:drawing>
      </w:r>
    </w:p>
    <w:p>
      <w:pPr>
        <w:pStyle w:val="10"/>
        <w:bidi w:val="0"/>
        <w:rPr>
          <w:rFonts w:hint="eastAsia"/>
          <w:lang w:val="en-US" w:eastAsia="zh-Hans"/>
        </w:rPr>
      </w:pPr>
      <w:r>
        <w:rPr>
          <w:rFonts w:hint="eastAsia"/>
          <w:lang w:val="en-US" w:eastAsia="zh-CN"/>
        </w:rPr>
        <w:t>③系统跳转“开具成功”页面</w:t>
      </w:r>
      <w:r>
        <w:rPr>
          <w:rFonts w:hint="eastAsia"/>
          <w:lang w:val="en-US" w:eastAsia="zh-Hans"/>
        </w:rPr>
        <w:t>。</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w:t>
      </w:r>
      <w:r>
        <w:drawing>
          <wp:inline distT="0" distB="0" distL="114300" distR="114300">
            <wp:extent cx="5261610" cy="2515235"/>
            <wp:effectExtent l="0" t="0" r="15240" b="184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5261610" cy="2515235"/>
                    </a:xfrm>
                    <a:prstGeom prst="rect">
                      <a:avLst/>
                    </a:prstGeom>
                    <a:noFill/>
                    <a:ln>
                      <a:noFill/>
                    </a:ln>
                  </pic:spPr>
                </pic:pic>
              </a:graphicData>
            </a:graphic>
          </wp:inline>
        </w:drawing>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3．</w:t>
      </w:r>
      <w:r>
        <w:rPr>
          <w:rFonts w:hint="eastAsia"/>
        </w:rPr>
        <w:t>可</w:t>
      </w:r>
      <w:r>
        <w:rPr>
          <w:rFonts w:hint="eastAsia"/>
          <w:lang w:eastAsia="zh-Hans"/>
        </w:rPr>
        <w:t>点击</w:t>
      </w:r>
      <w:r>
        <w:rPr>
          <w:rFonts w:hint="eastAsia"/>
        </w:rPr>
        <w:t>【完税证明下载（PDF格式）】，下载税收完税证明；可</w:t>
      </w:r>
      <w:r>
        <w:rPr>
          <w:rFonts w:hint="eastAsia"/>
          <w:lang w:eastAsia="zh-Hans"/>
        </w:rPr>
        <w:t>点击</w:t>
      </w:r>
      <w:r>
        <w:rPr>
          <w:rFonts w:hint="eastAsia"/>
        </w:rPr>
        <w:t>【完税证明打印】，打印税收完税证明。可点击【返回首页】返回首页</w:t>
      </w:r>
      <w:r>
        <w:rPr>
          <w:rFonts w:hint="eastAsia"/>
          <w:lang w:eastAsia="zh-CN"/>
        </w:rPr>
        <w:t>，可点击【评价】，对功能进行评价。</w:t>
      </w:r>
    </w:p>
    <w:p>
      <w:pPr>
        <w:pStyle w:val="11"/>
        <w:numPr>
          <w:ilvl w:val="0"/>
          <w:numId w:val="0"/>
        </w:numPr>
        <w:bidi w:val="0"/>
      </w:pPr>
      <w:r>
        <w:drawing>
          <wp:inline distT="0" distB="0" distL="114300" distR="114300">
            <wp:extent cx="5261610" cy="2515235"/>
            <wp:effectExtent l="0" t="0" r="15240"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5261610" cy="2515235"/>
                    </a:xfrm>
                    <a:prstGeom prst="rect">
                      <a:avLst/>
                    </a:prstGeom>
                    <a:noFill/>
                    <a:ln>
                      <a:noFill/>
                    </a:ln>
                  </pic:spPr>
                </pic:pic>
              </a:graphicData>
            </a:graphic>
          </wp:inline>
        </w:drawing>
      </w:r>
    </w:p>
    <w:p>
      <w:pPr>
        <w:pStyle w:val="3"/>
        <w:ind w:firstLine="640" w:firstLineChars="200"/>
        <w:rPr>
          <w:rFonts w:ascii="黑体" w:hAnsi="黑体" w:cs="黑体"/>
          <w:b w:val="0"/>
          <w:bCs/>
          <w:szCs w:val="32"/>
          <w:lang w:eastAsia="zh-Hans"/>
        </w:rPr>
      </w:pPr>
      <w:r>
        <w:rPr>
          <w:rFonts w:hint="eastAsia"/>
          <w:b w:val="0"/>
          <w:bCs/>
        </w:rPr>
        <w:t>六、报送资料</w:t>
      </w:r>
    </w:p>
    <w:p>
      <w:pPr>
        <w:pStyle w:val="10"/>
        <w:bidi w:val="0"/>
        <w:rPr>
          <w:rFonts w:hint="eastAsia"/>
          <w:lang w:eastAsia="zh-CN"/>
        </w:rPr>
      </w:pPr>
      <w:r>
        <w:rPr>
          <w:rFonts w:hint="eastAsia"/>
        </w:rPr>
        <w:t>无</w:t>
      </w:r>
      <w:r>
        <w:rPr>
          <w:rFonts w:hint="eastAsia"/>
          <w:lang w:eastAsia="zh-CN"/>
        </w:rPr>
        <w:t>。</w:t>
      </w:r>
    </w:p>
    <w:p>
      <w:pPr>
        <w:pStyle w:val="3"/>
        <w:ind w:firstLine="640" w:firstLineChars="200"/>
        <w:rPr>
          <w:b w:val="0"/>
          <w:bCs/>
          <w:szCs w:val="32"/>
          <w:lang w:eastAsia="zh-Hans"/>
        </w:rPr>
      </w:pPr>
      <w:r>
        <w:rPr>
          <w:rFonts w:hint="eastAsia"/>
          <w:b w:val="0"/>
          <w:bCs/>
          <w:szCs w:val="32"/>
        </w:rPr>
        <w:t>七、</w:t>
      </w:r>
      <w:r>
        <w:rPr>
          <w:rFonts w:hint="eastAsia"/>
          <w:b w:val="0"/>
          <w:bCs/>
          <w:szCs w:val="32"/>
          <w:lang w:eastAsia="zh-Hans"/>
        </w:rPr>
        <w:t>注意事项</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1．</w:t>
      </w:r>
      <w:r>
        <w:rPr>
          <w:rFonts w:hint="eastAsia"/>
        </w:rPr>
        <w:t>纳税人对报送材料的真实性和合法性承担责任。</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2．</w:t>
      </w:r>
      <w:r>
        <w:rPr>
          <w:rFonts w:hint="eastAsia"/>
        </w:rPr>
        <w:t>税收完税证明（文书式）不得作为纳税人的记账或抵扣凭证。</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3．</w:t>
      </w:r>
      <w:r>
        <w:rPr>
          <w:rFonts w:hint="eastAsia"/>
        </w:rPr>
        <w:t>扣缴义务人代扣、代收税款后，已经向纳税人开具税法规定或国家税务总局认可的记载完税情况的其他凭证，纳税人可以申请换开完税凭证。其中所称“已经向纳税人开具税法规定或国家税务总局认可的记载完税情况的其他凭证”是指记载车船税完税情况的交强险保单、记载储蓄存款利息所得税完税情况的利息清单等税法或国家税务总局认可的能够作为已完税情况证明的凭证。</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4．</w:t>
      </w:r>
      <w:r>
        <w:rPr>
          <w:rFonts w:hint="eastAsia"/>
        </w:rPr>
        <w:t>对同一笔税费只能进行一次“换开”或“转开”，已经“换开”或“转开”的，只能进行补开，即“是否补打”只能选择“是”。</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5．</w:t>
      </w:r>
      <w:r>
        <w:rPr>
          <w:rFonts w:hint="eastAsia"/>
        </w:rPr>
        <w:t>个人所得税纳税人就税款所属期为 2019 年 1 月 1 日（含）以后缴（退）税情况申请开具证明的，税务机关为其开具个人所得税《纳税记录》，不再开具税收完税证明（文书式）。</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6．</w:t>
      </w:r>
      <w:r>
        <w:rPr>
          <w:rFonts w:hint="eastAsia"/>
        </w:rPr>
        <w:t>纳税人遗失《出口货物完税分割单》、印花税票和《印花税票销售凭证》，不能重新开具。</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7．</w:t>
      </w:r>
      <w:r>
        <w:rPr>
          <w:rFonts w:hint="eastAsia"/>
        </w:rPr>
        <w:t>纳税人提供加盖开具单位的相关业务章戳并已注明扣收税款信息的“成交过户交割凭单”或“过户登记确认书”，可以向证券交易场所和证券登记结算机构所在地的主管税务机关申请出具《税收完税证明》。</w:t>
      </w:r>
    </w:p>
    <w:p>
      <w:pPr>
        <w:pStyle w:val="3"/>
        <w:ind w:firstLine="643" w:firstLineChars="200"/>
        <w:rPr>
          <w:rFonts w:ascii="仿宋_GB2312" w:eastAsia="仿宋_GB2312"/>
          <w:szCs w:val="32"/>
        </w:rPr>
      </w:pPr>
      <w:r>
        <w:rPr>
          <w:rFonts w:hint="eastAsia"/>
        </w:rPr>
        <w:t>八、常见问题</w:t>
      </w:r>
    </w:p>
    <w:p>
      <w:pPr>
        <w:pStyle w:val="11"/>
        <w:numPr>
          <w:ilvl w:val="0"/>
          <w:numId w:val="0"/>
        </w:numPr>
        <w:bidi w:val="0"/>
        <w:ind w:left="0" w:leftChars="0" w:firstLine="640" w:firstLineChars="200"/>
      </w:pPr>
      <w:r>
        <w:rPr>
          <w:rFonts w:hint="default" w:ascii="Calibri" w:hAnsi="Calibri" w:eastAsia="华文仿宋" w:cs="Times New Roman"/>
          <w:kern w:val="2"/>
          <w:sz w:val="32"/>
          <w:szCs w:val="24"/>
          <w:lang w:val="en-US" w:eastAsia="zh-CN" w:bidi="ar-SA"/>
        </w:rPr>
        <w:t>1．</w:t>
      </w:r>
      <w:r>
        <w:rPr>
          <w:rFonts w:hint="eastAsia"/>
        </w:rPr>
        <w:t>出现查询不到需要转开的税收完税证明有那些原因？</w:t>
      </w:r>
    </w:p>
    <w:p>
      <w:pPr>
        <w:pStyle w:val="10"/>
        <w:bidi w:val="0"/>
      </w:pPr>
      <w:r>
        <w:rPr>
          <w:rFonts w:hint="eastAsia"/>
        </w:rPr>
        <w:t>答：①在查询需要转开的税收完税证明时，税款不是通过横向联网电子缴税系统缴纳的。</w:t>
      </w:r>
    </w:p>
    <w:p>
      <w:pPr>
        <w:ind w:firstLine="640" w:firstLineChars="200"/>
        <w:rPr>
          <w:rFonts w:hint="eastAsia"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②在查询需要转开的税收完税证明时，税款是通过横向联网电子缴税系统缴纳的，但是不是首次转开。（部分因网络延迟等原因，导致系统默认非首次转开，可通过选择是否补打来进行查询。）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ongti SC">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33C79"/>
    <w:multiLevelType w:val="multilevel"/>
    <w:tmpl w:val="D5A33C79"/>
    <w:lvl w:ilvl="0" w:tentative="0">
      <w:start w:val="1"/>
      <w:numFmt w:val="decimal"/>
      <w:pStyle w:val="11"/>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
    <w:nsid w:val="6A5B7841"/>
    <w:multiLevelType w:val="multilevel"/>
    <w:tmpl w:val="6A5B7841"/>
    <w:lvl w:ilvl="0" w:tentative="0">
      <w:start w:val="1"/>
      <w:numFmt w:val="japaneseCounting"/>
      <w:lvlText w:val="%1、"/>
      <w:lvlJc w:val="left"/>
      <w:pPr>
        <w:ind w:left="1288" w:hanging="648"/>
      </w:pPr>
      <w:rPr>
        <w:rFonts w:hint="default" w:ascii="Arial" w:hAnsi="Arial" w:cs="Times New Roman"/>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MjA0ODE1YzgzMzNiNzM2YTQzOTQ4YzAwNzlkOWEifQ=="/>
  </w:docVars>
  <w:rsids>
    <w:rsidRoot w:val="00CB5141"/>
    <w:rsid w:val="00003FF1"/>
    <w:rsid w:val="000067E9"/>
    <w:rsid w:val="00054EC3"/>
    <w:rsid w:val="00055D3C"/>
    <w:rsid w:val="000833FD"/>
    <w:rsid w:val="000E12D9"/>
    <w:rsid w:val="00103946"/>
    <w:rsid w:val="0014268B"/>
    <w:rsid w:val="00143D77"/>
    <w:rsid w:val="00155B59"/>
    <w:rsid w:val="00195FE3"/>
    <w:rsid w:val="002B04A9"/>
    <w:rsid w:val="002D56AC"/>
    <w:rsid w:val="002F140E"/>
    <w:rsid w:val="002F4E98"/>
    <w:rsid w:val="00396B45"/>
    <w:rsid w:val="00402F0B"/>
    <w:rsid w:val="004106E2"/>
    <w:rsid w:val="004205D6"/>
    <w:rsid w:val="00422E31"/>
    <w:rsid w:val="00472FDE"/>
    <w:rsid w:val="0066288F"/>
    <w:rsid w:val="006900E8"/>
    <w:rsid w:val="0070749C"/>
    <w:rsid w:val="007976FC"/>
    <w:rsid w:val="007A0740"/>
    <w:rsid w:val="007A25EA"/>
    <w:rsid w:val="008734A4"/>
    <w:rsid w:val="00944BCD"/>
    <w:rsid w:val="00990AC3"/>
    <w:rsid w:val="00996D89"/>
    <w:rsid w:val="00A67D91"/>
    <w:rsid w:val="00B04A24"/>
    <w:rsid w:val="00BD08C7"/>
    <w:rsid w:val="00C65C1B"/>
    <w:rsid w:val="00CB183F"/>
    <w:rsid w:val="00CB5141"/>
    <w:rsid w:val="00D51280"/>
    <w:rsid w:val="00D8262A"/>
    <w:rsid w:val="00D83021"/>
    <w:rsid w:val="00E16611"/>
    <w:rsid w:val="00E90C66"/>
    <w:rsid w:val="00F34AF3"/>
    <w:rsid w:val="00F81505"/>
    <w:rsid w:val="00FA5649"/>
    <w:rsid w:val="00FA732D"/>
    <w:rsid w:val="00FE1522"/>
    <w:rsid w:val="063D639A"/>
    <w:rsid w:val="06B05722"/>
    <w:rsid w:val="07687BBF"/>
    <w:rsid w:val="0CD96F67"/>
    <w:rsid w:val="0E9257DF"/>
    <w:rsid w:val="0EC54490"/>
    <w:rsid w:val="1008458B"/>
    <w:rsid w:val="12FE41D9"/>
    <w:rsid w:val="142676D5"/>
    <w:rsid w:val="152C4EA9"/>
    <w:rsid w:val="169F7EB9"/>
    <w:rsid w:val="195176B3"/>
    <w:rsid w:val="1BDA55FE"/>
    <w:rsid w:val="1C1C1842"/>
    <w:rsid w:val="1C4226B6"/>
    <w:rsid w:val="210F0986"/>
    <w:rsid w:val="235654CA"/>
    <w:rsid w:val="240071E0"/>
    <w:rsid w:val="26B17935"/>
    <w:rsid w:val="285158E0"/>
    <w:rsid w:val="29285145"/>
    <w:rsid w:val="2A3363C9"/>
    <w:rsid w:val="2BC374BB"/>
    <w:rsid w:val="2F3236C9"/>
    <w:rsid w:val="2FF8229A"/>
    <w:rsid w:val="33A53D1B"/>
    <w:rsid w:val="33EA2B55"/>
    <w:rsid w:val="34381B7B"/>
    <w:rsid w:val="3FA629CD"/>
    <w:rsid w:val="44BF4B76"/>
    <w:rsid w:val="46C01C37"/>
    <w:rsid w:val="47767832"/>
    <w:rsid w:val="4B0B4D24"/>
    <w:rsid w:val="4C4F3FC2"/>
    <w:rsid w:val="4C664853"/>
    <w:rsid w:val="4FD201FB"/>
    <w:rsid w:val="56856C11"/>
    <w:rsid w:val="59A14E6F"/>
    <w:rsid w:val="5D736760"/>
    <w:rsid w:val="5FB13CAF"/>
    <w:rsid w:val="5FDD67C9"/>
    <w:rsid w:val="626B1A7D"/>
    <w:rsid w:val="635459E7"/>
    <w:rsid w:val="64D616D7"/>
    <w:rsid w:val="673E5311"/>
    <w:rsid w:val="693B113A"/>
    <w:rsid w:val="698B4162"/>
    <w:rsid w:val="6BDF1847"/>
    <w:rsid w:val="6D9A680E"/>
    <w:rsid w:val="70F4540F"/>
    <w:rsid w:val="74B3733F"/>
    <w:rsid w:val="7DDA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keepNext/>
      <w:keepLines/>
      <w:outlineLvl w:val="0"/>
    </w:pPr>
    <w:rPr>
      <w:rFonts w:eastAsia="黑体"/>
      <w:b/>
      <w:kern w:val="44"/>
      <w:sz w:val="32"/>
    </w:rPr>
  </w:style>
  <w:style w:type="paragraph" w:styleId="4">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spacing w:line="240" w:lineRule="auto"/>
      <w:ind w:firstLine="883" w:firstLineChars="200"/>
    </w:pPr>
    <w:rPr>
      <w:rFonts w:ascii="Songti SC" w:hAnsi="Songti SC" w:eastAsia="华文仿宋" w:cs="Songti SC"/>
      <w:sz w:val="32"/>
      <w:szCs w:val="24"/>
      <w:lang w:val="en-US" w:eastAsia="zh-CN" w:bidi="ar-SA"/>
    </w:rPr>
  </w:style>
  <w:style w:type="paragraph" w:styleId="5">
    <w:name w:val="Body Text"/>
    <w:basedOn w:val="1"/>
    <w:next w:val="1"/>
    <w:link w:val="14"/>
    <w:qFormat/>
    <w:uiPriority w:val="0"/>
    <w:pPr>
      <w:spacing w:after="120"/>
    </w:pPr>
    <w:rPr>
      <w:rFonts w:ascii="Times New Roman" w:hAnsi="Times New Roman" w:cs="Calibri"/>
      <w:szCs w:val="21"/>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XDJ_正文"/>
    <w:basedOn w:val="1"/>
    <w:qFormat/>
    <w:uiPriority w:val="0"/>
    <w:pPr>
      <w:ind w:firstLine="883" w:firstLineChars="200"/>
      <w:jc w:val="left"/>
    </w:pPr>
    <w:rPr>
      <w:rFonts w:hint="eastAsia" w:ascii="Calibri" w:hAnsi="Calibri" w:eastAsia="华文仿宋"/>
      <w:sz w:val="32"/>
    </w:rPr>
  </w:style>
  <w:style w:type="paragraph" w:customStyle="1" w:styleId="11">
    <w:name w:val="XDJ_正文编号n."/>
    <w:basedOn w:val="1"/>
    <w:qFormat/>
    <w:uiPriority w:val="0"/>
    <w:pPr>
      <w:numPr>
        <w:ilvl w:val="0"/>
        <w:numId w:val="1"/>
      </w:numPr>
      <w:ind w:firstLine="883" w:firstLineChars="200"/>
      <w:jc w:val="left"/>
    </w:pPr>
    <w:rPr>
      <w:rFonts w:ascii="Calibri" w:hAnsi="Calibri" w:eastAsia="华文仿宋"/>
      <w:sz w:val="32"/>
    </w:rPr>
  </w:style>
  <w:style w:type="paragraph" w:customStyle="1" w:styleId="12">
    <w:name w:val="XDJ_表格文字"/>
    <w:basedOn w:val="1"/>
    <w:qFormat/>
    <w:uiPriority w:val="0"/>
    <w:pPr>
      <w:jc w:val="center"/>
    </w:pPr>
    <w:rPr>
      <w:rFonts w:hint="eastAsia" w:ascii="宋体" w:hAnsi="宋体" w:eastAsia="宋体" w:cs="Arial"/>
      <w:szCs w:val="28"/>
    </w:rPr>
  </w:style>
  <w:style w:type="character" w:customStyle="1" w:styleId="13">
    <w:name w:val="标题 1 字符"/>
    <w:basedOn w:val="9"/>
    <w:link w:val="3"/>
    <w:qFormat/>
    <w:uiPriority w:val="0"/>
    <w:rPr>
      <w:rFonts w:ascii="Calibri" w:hAnsi="Calibri" w:eastAsia="黑体" w:cs="Times New Roman"/>
      <w:b/>
      <w:kern w:val="44"/>
      <w:sz w:val="32"/>
      <w:szCs w:val="24"/>
    </w:rPr>
  </w:style>
  <w:style w:type="character" w:customStyle="1" w:styleId="14">
    <w:name w:val="正文文本 字符"/>
    <w:basedOn w:val="9"/>
    <w:link w:val="5"/>
    <w:qFormat/>
    <w:uiPriority w:val="0"/>
    <w:rPr>
      <w:rFonts w:ascii="Times New Roman" w:hAnsi="Times New Roman" w:eastAsia="宋体" w:cs="Calibri"/>
      <w:szCs w:val="21"/>
    </w:rPr>
  </w:style>
  <w:style w:type="character" w:customStyle="1" w:styleId="15">
    <w:name w:val="font11"/>
    <w:qFormat/>
    <w:uiPriority w:val="0"/>
    <w:rPr>
      <w:rFonts w:hint="eastAsia" w:ascii="宋体" w:hAnsi="宋体" w:eastAsia="宋体" w:cs="宋体"/>
      <w:color w:val="000000"/>
      <w:sz w:val="18"/>
      <w:szCs w:val="18"/>
      <w:u w:val="none"/>
    </w:rPr>
  </w:style>
  <w:style w:type="paragraph" w:customStyle="1" w:styleId="16">
    <w:name w:val="_Style 3"/>
    <w:basedOn w:val="1"/>
    <w:qFormat/>
    <w:uiPriority w:val="0"/>
    <w:pPr>
      <w:ind w:firstLine="420" w:firstLineChars="200"/>
    </w:pPr>
    <w:rPr>
      <w:szCs w:val="22"/>
    </w:rPr>
  </w:style>
  <w:style w:type="character" w:customStyle="1" w:styleId="17">
    <w:name w:val="页眉 字符"/>
    <w:basedOn w:val="9"/>
    <w:link w:val="7"/>
    <w:qFormat/>
    <w:uiPriority w:val="99"/>
    <w:rPr>
      <w:rFonts w:ascii="Calibri" w:hAnsi="Calibri" w:eastAsia="宋体" w:cs="Times New Roman"/>
      <w:sz w:val="18"/>
      <w:szCs w:val="18"/>
    </w:rPr>
  </w:style>
  <w:style w:type="character" w:customStyle="1" w:styleId="18">
    <w:name w:val="页脚 字符"/>
    <w:basedOn w:val="9"/>
    <w:link w:val="6"/>
    <w:qFormat/>
    <w:uiPriority w:val="99"/>
    <w:rPr>
      <w:rFonts w:ascii="Calibri" w:hAnsi="Calibri" w:eastAsia="宋体" w:cs="Times New Roman"/>
      <w:sz w:val="18"/>
      <w:szCs w:val="18"/>
    </w:rPr>
  </w:style>
  <w:style w:type="character" w:customStyle="1" w:styleId="19">
    <w:name w:val="标题 4 字符"/>
    <w:basedOn w:val="9"/>
    <w:link w:val="4"/>
    <w:semiHidden/>
    <w:qFormat/>
    <w:uiPriority w:val="9"/>
    <w:rPr>
      <w:rFonts w:asciiTheme="majorHAnsi" w:hAnsiTheme="majorHAnsi" w:eastAsiaTheme="majorEastAsia" w:cstheme="majorBidi"/>
      <w:b/>
      <w:bCs/>
      <w:sz w:val="28"/>
      <w:szCs w:val="28"/>
    </w:rPr>
  </w:style>
  <w:style w:type="paragraph" w:customStyle="1" w:styleId="20">
    <w:name w:val="表格列标题"/>
    <w:basedOn w:val="1"/>
    <w:link w:val="21"/>
    <w:qFormat/>
    <w:uiPriority w:val="0"/>
    <w:pPr>
      <w:jc w:val="center"/>
    </w:pPr>
    <w:rPr>
      <w:rFonts w:ascii="Arial" w:hAnsi="Arial" w:cs="Arial"/>
      <w:b/>
      <w:kern w:val="0"/>
      <w:sz w:val="18"/>
      <w:szCs w:val="20"/>
    </w:rPr>
  </w:style>
  <w:style w:type="character" w:customStyle="1" w:styleId="21">
    <w:name w:val="表格列标题 Char"/>
    <w:link w:val="20"/>
    <w:qFormat/>
    <w:uiPriority w:val="0"/>
    <w:rPr>
      <w:rFonts w:ascii="Arial" w:hAnsi="Arial" w:eastAsia="宋体" w:cs="Arial"/>
      <w:b/>
      <w:sz w:val="18"/>
    </w:rPr>
  </w:style>
  <w:style w:type="paragraph" w:customStyle="1" w:styleId="22">
    <w:name w:val="表格文字 居中"/>
    <w:basedOn w:val="1"/>
    <w:link w:val="23"/>
    <w:qFormat/>
    <w:uiPriority w:val="0"/>
    <w:pPr>
      <w:jc w:val="center"/>
    </w:pPr>
    <w:rPr>
      <w:rFonts w:ascii="Arial" w:hAnsi="Arial" w:cs="Arial"/>
      <w:kern w:val="0"/>
      <w:sz w:val="18"/>
      <w:szCs w:val="20"/>
    </w:rPr>
  </w:style>
  <w:style w:type="character" w:customStyle="1" w:styleId="23">
    <w:name w:val="表格文字 居中 Char"/>
    <w:link w:val="22"/>
    <w:qFormat/>
    <w:uiPriority w:val="0"/>
    <w:rPr>
      <w:rFonts w:ascii="Arial" w:hAnsi="Arial" w:eastAsia="宋体" w:cs="Arial"/>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363</Words>
  <Characters>2075</Characters>
  <Lines>17</Lines>
  <Paragraphs>4</Paragraphs>
  <TotalTime>0</TotalTime>
  <ScaleCrop>false</ScaleCrop>
  <LinksUpToDate>false</LinksUpToDate>
  <CharactersWithSpaces>2434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2022-12-19T08:17:00Z</dcterms:created>
  <dc:creator>HUAWEI</dc:creator>
  <cp:lastModifiedBy>123</cp:lastModifiedBy>
  <dcterms:modified xsi:type="dcterms:W3CDTF">2024-06-12T08:24:48Z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BEE5A087CCFA4465AF95D5057E8C9EBE_13</vt:lpwstr>
  </property>
</Properties>
</file>