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cs="楷体"/>
          <w:b/>
          <w:color w:val="000000"/>
          <w:kern w:val="0"/>
          <w:sz w:val="44"/>
          <w:szCs w:val="44"/>
          <w:lang w:bidi="ar"/>
        </w:rPr>
      </w:pPr>
      <w:r>
        <w:rPr>
          <w:rFonts w:hint="eastAsia" w:ascii="楷体" w:hAnsi="楷体" w:eastAsia="楷体" w:cs="楷体"/>
          <w:b/>
          <w:color w:val="000000"/>
          <w:kern w:val="0"/>
          <w:sz w:val="44"/>
          <w:szCs w:val="44"/>
          <w:lang w:bidi="ar"/>
        </w:rPr>
        <w:t>业务操作指引</w:t>
      </w:r>
    </w:p>
    <w:p>
      <w:pPr>
        <w:jc w:val="center"/>
        <w:rPr>
          <w:rFonts w:ascii="楷体" w:hAnsi="楷体" w:eastAsia="楷体" w:cs="楷体"/>
          <w:b/>
          <w:color w:val="000000"/>
          <w:kern w:val="0"/>
          <w:sz w:val="44"/>
          <w:szCs w:val="44"/>
          <w:lang w:val="zh-CN" w:bidi="ar"/>
        </w:rPr>
      </w:pPr>
      <w:r>
        <w:rPr>
          <w:rFonts w:hint="eastAsia" w:ascii="楷体" w:hAnsi="楷体" w:eastAsia="楷体" w:cs="楷体"/>
          <w:b/>
          <w:color w:val="000000"/>
          <w:kern w:val="0"/>
          <w:sz w:val="44"/>
          <w:szCs w:val="44"/>
          <w:lang w:val="zh-CN" w:bidi="ar"/>
        </w:rPr>
        <w:t>货物运输业小规模纳税人异地代开增值税专用发票备案</w:t>
      </w:r>
    </w:p>
    <w:p>
      <w:pPr>
        <w:pStyle w:val="3"/>
        <w:numPr>
          <w:ilvl w:val="0"/>
          <w:numId w:val="2"/>
        </w:numPr>
        <w:ind w:firstLine="641" w:firstLineChars="200"/>
        <w:rPr>
          <w:sz w:val="32"/>
          <w:szCs w:val="32"/>
        </w:rPr>
      </w:pPr>
      <w:r>
        <w:rPr>
          <w:rFonts w:hint="eastAsia"/>
          <w:sz w:val="32"/>
          <w:szCs w:val="32"/>
        </w:rPr>
        <w:t>业务概述</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1.纳税人在境内提供公路或内河货物运输服务，需要开具增值税专用发票的，可通过此事项办理，将相关信息予以备案，以便纳税人代开增值税专用发票时，税务机关予以调取、使用相关信息。按照“一地登记、多地（跨省）通办”的原则，实现货物运输业小规模纳税人异地开票。</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 xml:space="preserve">2.纳税人在境内提供公路或内河货物运输服务，需要开具增值税专用发票的，可在税务登记地、货物起运地、货物到达地或运输业务承揽地（含互联网物流平台所在地）中任何一地，就近向税务机关（以下称代开单位）申请代开增值税专用发票。 </w:t>
      </w:r>
    </w:p>
    <w:p>
      <w:pPr>
        <w:ind w:firstLine="640" w:firstLineChars="200"/>
        <w:rPr>
          <w:rFonts w:ascii="华文仿宋" w:hAnsi="华文仿宋" w:eastAsia="华文仿宋" w:cs="华文仿宋"/>
          <w:sz w:val="32"/>
          <w:szCs w:val="32"/>
        </w:rPr>
      </w:pPr>
      <w:r>
        <w:rPr>
          <w:rFonts w:ascii="华文仿宋" w:hAnsi="华文仿宋" w:eastAsia="华文仿宋" w:cs="华文仿宋"/>
          <w:sz w:val="32"/>
          <w:szCs w:val="32"/>
        </w:rPr>
        <w:t>3.</w:t>
      </w:r>
      <w:r>
        <w:rPr>
          <w:rFonts w:hint="eastAsia" w:ascii="华文仿宋" w:hAnsi="华文仿宋" w:eastAsia="华文仿宋" w:cs="华文仿宋"/>
          <w:sz w:val="32"/>
          <w:szCs w:val="32"/>
        </w:rPr>
        <w:t>同时具备以下条件的纳税人（以下简称纳税人）适用该事项。</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（1）在中华人民共和国境内（以下简称境内）从事公路、内河货物运输，并办理了市场监管部门登记和税务登记；</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2）提供公路货物运输服务的（以4.5吨及以下普通货运车辆从事普通道路货物运输经营的除外）取得《中华人民共和国道路运输经营许可证》、《中华人民共和国道路运输证》；提供内河货物运输服务的，取得《国内水路运输经营许可证》、《船舶营业运输证》；</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（3）向税务登记地主管税务机关（以下简称主管税务机关）登记为增值税小规模纳税人；</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（4）将营运机动车、船舶信息向主管税务机关进行了备案。</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4.纳税人在《货物运输业代开增值税专用发票缴纳税款申报单》中填写的运输工具相关信息，须与其向主管税务机关备案的信息一致。</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5.纳税人申请代开专用发票金额明显超出其实际运输能力的，系统自动暂停其在非税务登记地代开发票，同时发起约谈待办任务。经约谈排除疑点的，系统根据结果自动恢复资格有效标识，纳税人可继续在非税务登记地代开专票。</w:t>
      </w:r>
    </w:p>
    <w:p>
      <w:pPr>
        <w:pStyle w:val="3"/>
        <w:numPr>
          <w:ilvl w:val="0"/>
          <w:numId w:val="2"/>
        </w:numPr>
        <w:ind w:firstLine="641" w:firstLineChars="200"/>
        <w:rPr>
          <w:sz w:val="32"/>
          <w:szCs w:val="32"/>
        </w:rPr>
      </w:pPr>
      <w:r>
        <w:rPr>
          <w:rFonts w:hint="eastAsia"/>
          <w:sz w:val="32"/>
          <w:szCs w:val="32"/>
        </w:rPr>
        <w:t>功能路径</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1.【我要办税】-【综合信息报告】-【资格信息报告】-【货物运输业小规模纳税人异地代开增值税专用发票备案】。</w:t>
      </w:r>
      <w:r>
        <w:rPr>
          <w:rFonts w:ascii="华文仿宋" w:hAnsi="华文仿宋" w:eastAsia="华文仿宋" w:cs="华文仿宋"/>
          <w:sz w:val="32"/>
          <w:szCs w:val="32"/>
        </w:rPr>
        <w:t xml:space="preserve"> </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2.通过首页搜索栏输入关键字查找。</w:t>
      </w:r>
    </w:p>
    <w:p>
      <w:pPr>
        <w:pStyle w:val="3"/>
        <w:numPr>
          <w:ilvl w:val="0"/>
          <w:numId w:val="2"/>
        </w:numPr>
        <w:ind w:firstLine="641" w:firstLineChars="200"/>
        <w:rPr>
          <w:rFonts w:hint="eastAsia" w:ascii="Arial" w:hAnsi="Arial"/>
          <w:sz w:val="32"/>
          <w:szCs w:val="32"/>
        </w:rPr>
      </w:pPr>
      <w:r>
        <w:rPr>
          <w:rFonts w:hint="eastAsia" w:ascii="Arial" w:hAnsi="Arial"/>
          <w:sz w:val="32"/>
          <w:szCs w:val="32"/>
          <w:lang w:eastAsia="zh-Hans"/>
        </w:rPr>
        <w:t>操作步骤</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1.【我要办税】-【综合信息报告】-【资格信息报告】-【货物运输业小规模纳税人异地代开增值税专用发票备案】，进入功能菜单。</w:t>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265420" cy="2479675"/>
            <wp:effectExtent l="0" t="0" r="17780" b="9525"/>
            <wp:docPr id="1" name="图片 1" descr="/Users/zzh/Library/Containers/com.kingsoft.wpsoffice.mac/Data/tmp/photoeditapp/2024050714433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h/Library/Containers/com.kingsoft.wpsoffice.mac/Data/tmp/photoeditapp/20240507144336/temp.pngtemp"/>
                    <pic:cNvPicPr>
                      <a:picLocks noChangeAspect="1"/>
                    </pic:cNvPicPr>
                  </pic:nvPicPr>
                  <pic:blipFill>
                    <a:blip r:embed="rId7"/>
                    <a:stretch>
                      <a:fillRect/>
                    </a:stretch>
                  </pic:blipFill>
                  <pic:spPr>
                    <a:xfrm>
                      <a:off x="0" y="0"/>
                      <a:ext cx="5265420" cy="2479675"/>
                    </a:xfrm>
                    <a:prstGeom prst="rect">
                      <a:avLst/>
                    </a:prstGeom>
                  </pic:spPr>
                </pic:pic>
              </a:graphicData>
            </a:graphic>
          </wp:inline>
        </w:drawing>
      </w:r>
    </w:p>
    <w:p>
      <w:pPr>
        <w:pStyle w:val="12"/>
        <w:ind w:left="0" w:leftChars="0"/>
        <w:sectPr>
          <w:headerReference r:id="rId3" w:type="default"/>
          <w:pgSz w:w="11906" w:h="16838"/>
          <w:pgMar w:top="1440" w:right="1797" w:bottom="1440" w:left="1797" w:header="964" w:footer="1134" w:gutter="0"/>
          <w:cols w:space="720" w:num="1"/>
          <w:docGrid w:type="lines" w:linePitch="326" w:charSpace="0"/>
        </w:sectPr>
      </w:pP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2.进入货物运输业小规模纳税人异地代开增值税专用发票备案功能页面。</w:t>
      </w:r>
    </w:p>
    <w:p>
      <w:pPr>
        <w:jc w:val="left"/>
        <w:rPr>
          <w:rFonts w:ascii="楷体" w:hAnsi="楷体" w:eastAsia="楷体" w:cs="楷体"/>
          <w:b/>
          <w:color w:val="000000"/>
          <w:kern w:val="0"/>
          <w:sz w:val="28"/>
          <w:szCs w:val="28"/>
          <w:lang w:bidi="ar"/>
        </w:rPr>
      </w:pPr>
      <w:r>
        <w:drawing>
          <wp:inline distT="0" distB="0" distL="114300" distR="114300">
            <wp:extent cx="5267960" cy="3003550"/>
            <wp:effectExtent l="0" t="0" r="15240" b="190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7960" cy="3003550"/>
                    </a:xfrm>
                    <a:prstGeom prst="rect">
                      <a:avLst/>
                    </a:prstGeom>
                    <a:noFill/>
                    <a:ln>
                      <a:noFill/>
                    </a:ln>
                  </pic:spPr>
                </pic:pic>
              </a:graphicData>
            </a:graphic>
          </wp:inline>
        </w:drawing>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3.点击选择纳税人行业，进入对应的运输备案界面。</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1）选择道路货物运输。选择中华人民共和国道路运输经营许可证，进入道路运输经营许可证新增页面。点击【新增】，录入证件编号、证件有效期期止时间。点击中华人民共和国道路运输证，进入道路运输证新增页面，点击【新增】，录入许可证编号，车辆种类等信息，点击下一步，进入上传附件界面。</w:t>
      </w:r>
    </w:p>
    <w:p>
      <w:pPr>
        <w:pStyle w:val="2"/>
        <w:ind w:left="0" w:leftChars="0" w:firstLine="0" w:firstLineChars="0"/>
      </w:pPr>
      <w:r>
        <w:drawing>
          <wp:inline distT="0" distB="0" distL="114300" distR="114300">
            <wp:extent cx="5267325" cy="3007360"/>
            <wp:effectExtent l="0" t="0" r="158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67325" cy="300736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8595" cy="2987040"/>
            <wp:effectExtent l="0" t="0" r="14605" b="10160"/>
            <wp:docPr id="4" name="图片 3" descr="/Users/zzh/Library/Containers/com.kingsoft.wpsoffice.mac/Data/tmp/photoeditapp/2024050714492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Users/zzh/Library/Containers/com.kingsoft.wpsoffice.mac/Data/tmp/photoeditapp/20240507144928/temp.pngtemp"/>
                    <pic:cNvPicPr>
                      <a:picLocks noChangeAspect="1"/>
                    </pic:cNvPicPr>
                  </pic:nvPicPr>
                  <pic:blipFill>
                    <a:blip r:embed="rId10"/>
                    <a:stretch>
                      <a:fillRect/>
                    </a:stretch>
                  </pic:blipFill>
                  <pic:spPr>
                    <a:xfrm>
                      <a:off x="0" y="0"/>
                      <a:ext cx="5268595" cy="2987040"/>
                    </a:xfrm>
                    <a:prstGeom prst="rect">
                      <a:avLst/>
                    </a:prstGeom>
                    <a:noFill/>
                    <a:ln>
                      <a:noFill/>
                    </a:ln>
                  </pic:spPr>
                </pic:pic>
              </a:graphicData>
            </a:graphic>
          </wp:inline>
        </w:drawing>
      </w:r>
    </w:p>
    <w:p>
      <w:pPr>
        <w:pStyle w:val="2"/>
        <w:ind w:firstLine="0" w:firstLineChars="0"/>
      </w:pPr>
    </w:p>
    <w:p>
      <w:pPr>
        <w:ind w:firstLine="640" w:firstLineChars="200"/>
      </w:pPr>
      <w:r>
        <w:rPr>
          <w:rFonts w:hint="eastAsia" w:ascii="华文仿宋" w:hAnsi="华文仿宋" w:eastAsia="华文仿宋" w:cs="华文仿宋"/>
          <w:sz w:val="32"/>
          <w:szCs w:val="32"/>
        </w:rPr>
        <w:t>（2）选择内河货物运输，点击国内水路运输许可经营证，进入水路运输新增界面，点击【新增】，录入证件编号、证件有效期期止时间。点击船舶营业运输证，进入船舶新增界面，点击【新增】，录入证件编号、船舶类型等信息。点击【下一步】，进入上传附件界面。</w:t>
      </w:r>
    </w:p>
    <w:p>
      <w:pPr>
        <w:pStyle w:val="2"/>
        <w:ind w:firstLine="0" w:firstLineChars="0"/>
      </w:pPr>
      <w:r>
        <w:drawing>
          <wp:inline distT="0" distB="0" distL="114300" distR="114300">
            <wp:extent cx="5267960" cy="2984500"/>
            <wp:effectExtent l="0" t="0" r="15240" b="12700"/>
            <wp:docPr id="8" name="图片 2" descr="/Users/zzh/Library/Containers/com.kingsoft.wpsoffice.mac/Data/tmp/photoeditapp/202405101227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Users/zzh/Library/Containers/com.kingsoft.wpsoffice.mac/Data/tmp/photoeditapp/20240510122708/temp.pngtemp"/>
                    <pic:cNvPicPr>
                      <a:picLocks noChangeAspect="1"/>
                    </pic:cNvPicPr>
                  </pic:nvPicPr>
                  <pic:blipFill>
                    <a:blip r:embed="rId11"/>
                    <a:stretch>
                      <a:fillRect/>
                    </a:stretch>
                  </pic:blipFill>
                  <pic:spPr>
                    <a:xfrm>
                      <a:off x="0" y="0"/>
                      <a:ext cx="5267960" cy="2984500"/>
                    </a:xfrm>
                    <a:prstGeom prst="rect">
                      <a:avLst/>
                    </a:prstGeom>
                    <a:noFill/>
                    <a:ln>
                      <a:noFill/>
                    </a:ln>
                  </pic:spPr>
                </pic:pic>
              </a:graphicData>
            </a:graphic>
          </wp:inline>
        </w:drawing>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4.当纳税人存在已备案的车辆船舶信息，点击【提取车辆船舶信息】。弹出提取车辆信息页面，通过录入车辆（船舶）识别代码，可点击【查询】，查询已备案的车辆船舶信息，可点击【重置】重新输入查询条件。</w:t>
      </w:r>
    </w:p>
    <w:p>
      <w:pPr>
        <w:pStyle w:val="2"/>
        <w:ind w:left="0" w:leftChars="0" w:firstLine="0" w:firstLineChars="0"/>
      </w:pPr>
      <w:r>
        <w:drawing>
          <wp:inline distT="0" distB="0" distL="114300" distR="114300">
            <wp:extent cx="5267960" cy="3002280"/>
            <wp:effectExtent l="0" t="0" r="15240" b="20320"/>
            <wp:docPr id="5" name="图片 1" descr="/Users/zzh/Library/Containers/com.kingsoft.wpsoffice.mac/Data/tmp/photoeditapp/2024050714571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Users/zzh/Library/Containers/com.kingsoft.wpsoffice.mac/Data/tmp/photoeditapp/20240507145710/temp.pngtemp"/>
                    <pic:cNvPicPr>
                      <a:picLocks noChangeAspect="1"/>
                    </pic:cNvPicPr>
                  </pic:nvPicPr>
                  <pic:blipFill>
                    <a:blip r:embed="rId12"/>
                    <a:stretch>
                      <a:fillRect/>
                    </a:stretch>
                  </pic:blipFill>
                  <pic:spPr>
                    <a:xfrm>
                      <a:off x="0" y="0"/>
                      <a:ext cx="5267960" cy="30022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7325" cy="2941955"/>
            <wp:effectExtent l="0" t="0" r="15875"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7325" cy="2941955"/>
                    </a:xfrm>
                    <a:prstGeom prst="rect">
                      <a:avLst/>
                    </a:prstGeom>
                    <a:noFill/>
                    <a:ln>
                      <a:noFill/>
                    </a:ln>
                  </pic:spPr>
                </pic:pic>
              </a:graphicData>
            </a:graphic>
          </wp:inline>
        </w:drawing>
      </w:r>
    </w:p>
    <w:p>
      <w:pPr>
        <w:jc w:val="left"/>
      </w:pPr>
    </w:p>
    <w:p>
      <w:pPr>
        <w:pStyle w:val="2"/>
        <w:ind w:firstLine="0" w:firstLineChars="0"/>
        <w:rPr>
          <w:rFonts w:eastAsia="微软雅黑"/>
        </w:rPr>
      </w:pP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5.勾选查询到的车辆船舶信息，点击【确定】。会在新增栏新增所提取的车辆船舶信息。</w:t>
      </w:r>
    </w:p>
    <w:p>
      <w:pPr>
        <w:pStyle w:val="2"/>
        <w:tabs>
          <w:tab w:val="left" w:pos="714"/>
        </w:tabs>
        <w:ind w:firstLine="0" w:firstLineChars="0"/>
      </w:pPr>
    </w:p>
    <w:p>
      <w:pPr>
        <w:pStyle w:val="2"/>
        <w:tabs>
          <w:tab w:val="left" w:pos="714"/>
        </w:tabs>
        <w:ind w:firstLine="0" w:firstLineChars="0"/>
      </w:pPr>
      <w:r>
        <w:drawing>
          <wp:inline distT="0" distB="0" distL="114300" distR="114300">
            <wp:extent cx="5267325" cy="2941955"/>
            <wp:effectExtent l="0" t="0" r="1587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325" cy="2941955"/>
                    </a:xfrm>
                    <a:prstGeom prst="rect">
                      <a:avLst/>
                    </a:prstGeom>
                    <a:noFill/>
                    <a:ln>
                      <a:noFill/>
                    </a:ln>
                  </pic:spPr>
                </pic:pic>
              </a:graphicData>
            </a:graphic>
          </wp:inline>
        </w:drawing>
      </w:r>
    </w:p>
    <w:p>
      <w:pPr>
        <w:pStyle w:val="2"/>
        <w:tabs>
          <w:tab w:val="left" w:pos="714"/>
        </w:tabs>
        <w:ind w:firstLine="0" w:firstLineChars="0"/>
      </w:pP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6.点击【上传】上传对应附列资料，点击【提交】，系统跳转至成功界面并提示：“备案成功”，可点击【返回首页】跳转至首页页面。</w:t>
      </w:r>
    </w:p>
    <w:p>
      <w:pPr>
        <w:jc w:val="left"/>
        <w:rPr>
          <w:rFonts w:ascii="楷体" w:hAnsi="楷体" w:eastAsia="楷体" w:cs="楷体"/>
          <w:b/>
          <w:color w:val="000000"/>
          <w:kern w:val="0"/>
          <w:sz w:val="28"/>
          <w:szCs w:val="28"/>
          <w:lang w:bidi="ar"/>
        </w:rPr>
      </w:pPr>
      <w:r>
        <w:drawing>
          <wp:inline distT="0" distB="0" distL="114300" distR="114300">
            <wp:extent cx="5273675" cy="2995930"/>
            <wp:effectExtent l="0" t="0" r="9525" b="12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273675" cy="2995930"/>
                    </a:xfrm>
                    <a:prstGeom prst="rect">
                      <a:avLst/>
                    </a:prstGeom>
                    <a:noFill/>
                    <a:ln>
                      <a:noFill/>
                    </a:ln>
                  </pic:spPr>
                </pic:pic>
              </a:graphicData>
            </a:graphic>
          </wp:inline>
        </w:drawing>
      </w:r>
    </w:p>
    <w:p>
      <w:pPr>
        <w:pStyle w:val="2"/>
        <w:ind w:firstLine="0" w:firstLineChars="0"/>
      </w:pPr>
      <w:r>
        <w:drawing>
          <wp:inline distT="0" distB="0" distL="114300" distR="114300">
            <wp:extent cx="5261610" cy="2977515"/>
            <wp:effectExtent l="0" t="0" r="21590" b="1968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261610" cy="2977515"/>
                    </a:xfrm>
                    <a:prstGeom prst="rect">
                      <a:avLst/>
                    </a:prstGeom>
                    <a:noFill/>
                    <a:ln>
                      <a:noFill/>
                    </a:ln>
                  </pic:spPr>
                </pic:pic>
              </a:graphicData>
            </a:graphic>
          </wp:inline>
        </w:drawing>
      </w:r>
      <w:bookmarkStart w:id="0" w:name="_GoBack"/>
      <w:bookmarkEnd w:id="0"/>
    </w:p>
    <w:p>
      <w:pPr>
        <w:pStyle w:val="3"/>
        <w:numPr>
          <w:ilvl w:val="0"/>
          <w:numId w:val="3"/>
        </w:numPr>
        <w:ind w:firstLine="641" w:firstLineChars="200"/>
        <w:rPr>
          <w:sz w:val="32"/>
          <w:szCs w:val="32"/>
        </w:rPr>
      </w:pPr>
      <w:r>
        <w:rPr>
          <w:rFonts w:hint="eastAsia"/>
          <w:sz w:val="32"/>
          <w:szCs w:val="32"/>
        </w:rPr>
        <w:t>报送资料</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无。</w:t>
      </w:r>
    </w:p>
    <w:p>
      <w:pPr>
        <w:pStyle w:val="3"/>
        <w:numPr>
          <w:ilvl w:val="0"/>
          <w:numId w:val="3"/>
        </w:numPr>
        <w:ind w:firstLine="641" w:firstLineChars="200"/>
        <w:rPr>
          <w:sz w:val="32"/>
          <w:szCs w:val="32"/>
          <w:lang w:eastAsia="zh-Hans"/>
        </w:rPr>
      </w:pPr>
      <w:r>
        <w:rPr>
          <w:rFonts w:hint="eastAsia"/>
          <w:sz w:val="32"/>
          <w:szCs w:val="32"/>
          <w:lang w:eastAsia="zh-Hans"/>
        </w:rPr>
        <w:t>注意事项</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无。</w:t>
      </w:r>
    </w:p>
    <w:p>
      <w:pPr>
        <w:pStyle w:val="3"/>
        <w:numPr>
          <w:ilvl w:val="0"/>
          <w:numId w:val="3"/>
        </w:numPr>
        <w:ind w:firstLine="641" w:firstLineChars="200"/>
        <w:rPr>
          <w:sz w:val="32"/>
          <w:szCs w:val="32"/>
        </w:rPr>
      </w:pPr>
      <w:r>
        <w:rPr>
          <w:rFonts w:hint="eastAsia"/>
          <w:sz w:val="32"/>
          <w:szCs w:val="32"/>
          <w:lang w:eastAsia="zh-Hans"/>
        </w:rPr>
        <w:t>常见问题</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1.当纳税人不存在道路或内河货物运输，能否进入功能页面，有什么提示？</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答：若不为道路或内河货物运输无法进入功能页面，系统提示“该纳税人经营行业变更，不属于货物运输业，不予办理”。</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2.当纳税人状态为非正常或注销时，是否有提示？</w:t>
      </w:r>
    </w:p>
    <w:p>
      <w:pPr>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答：“注销户”、“非正常注销户”进入功能页面时系统提示“该纳税人登记状态为注销状态，不予办理”。</w:t>
      </w: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modern"/>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tabs>
        <w:tab w:val="left" w:pos="3651"/>
      </w:tabs>
      <w:jc w:val="left"/>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A4BD9"/>
    <w:multiLevelType w:val="singleLevel"/>
    <w:tmpl w:val="D23A4BD9"/>
    <w:lvl w:ilvl="0" w:tentative="0">
      <w:start w:val="1"/>
      <w:numFmt w:val="chineseCounting"/>
      <w:suff w:val="nothing"/>
      <w:lvlText w:val="%1、"/>
      <w:lvlJc w:val="left"/>
      <w:rPr>
        <w:rFonts w:hint="eastAsia"/>
      </w:rPr>
    </w:lvl>
  </w:abstractNum>
  <w:abstractNum w:abstractNumId="1">
    <w:nsid w:val="D6F55C55"/>
    <w:multiLevelType w:val="singleLevel"/>
    <w:tmpl w:val="D6F55C55"/>
    <w:lvl w:ilvl="0" w:tentative="0">
      <w:start w:val="6"/>
      <w:numFmt w:val="chineseCounting"/>
      <w:suff w:val="nothing"/>
      <w:lvlText w:val="%1、"/>
      <w:lvlJc w:val="left"/>
      <w:rPr>
        <w:rFonts w:hint="eastAsia"/>
      </w:rPr>
    </w:lvl>
  </w:abstractNum>
  <w:abstractNum w:abstractNumId="2">
    <w:nsid w:val="723C47C6"/>
    <w:multiLevelType w:val="multilevel"/>
    <w:tmpl w:val="723C47C6"/>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pStyle w:val="6"/>
      <w:suff w:val="space"/>
      <w:lvlText w:val="%1.%2.%3.%4"/>
      <w:lvlJc w:val="left"/>
      <w:pPr>
        <w:ind w:left="0" w:firstLine="0"/>
      </w:pPr>
      <w:rPr>
        <w:rFonts w:hint="eastAsia"/>
      </w:rPr>
    </w:lvl>
    <w:lvl w:ilvl="4" w:tentative="0">
      <w:start w:val="1"/>
      <w:numFmt w:val="decimal"/>
      <w:suff w:val="space"/>
      <w:lvlText w:val="%1.%2.%3.%4.%5"/>
      <w:lvlJc w:val="left"/>
      <w:pPr>
        <w:ind w:left="5388"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7"/>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lMWYxNTBiZjRlY2ZkY2ZiMWQxNGIwNGY5NjM5MzEifQ=="/>
  </w:docVars>
  <w:rsids>
    <w:rsidRoot w:val="123B4E92"/>
    <w:rsid w:val="0031464C"/>
    <w:rsid w:val="003352D8"/>
    <w:rsid w:val="0062601F"/>
    <w:rsid w:val="00A01B15"/>
    <w:rsid w:val="00B92145"/>
    <w:rsid w:val="00CE6A98"/>
    <w:rsid w:val="00FA5546"/>
    <w:rsid w:val="024D3845"/>
    <w:rsid w:val="0CC1672A"/>
    <w:rsid w:val="123B4E92"/>
    <w:rsid w:val="17A54790"/>
    <w:rsid w:val="1BF8332E"/>
    <w:rsid w:val="2F3657C0"/>
    <w:rsid w:val="3468282E"/>
    <w:rsid w:val="3F046205"/>
    <w:rsid w:val="53AB58E9"/>
    <w:rsid w:val="551001F8"/>
    <w:rsid w:val="583A71D3"/>
    <w:rsid w:val="65C76F87"/>
    <w:rsid w:val="691D13B4"/>
    <w:rsid w:val="7DFAFAE3"/>
    <w:rsid w:val="F8FE7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outlineLvl w:val="1"/>
    </w:pPr>
    <w:rPr>
      <w:rFonts w:ascii="Arial" w:hAnsi="Arial" w:eastAsia="黑体"/>
      <w:b/>
      <w:sz w:val="28"/>
    </w:rPr>
  </w:style>
  <w:style w:type="paragraph" w:styleId="4">
    <w:name w:val="heading 3"/>
    <w:basedOn w:val="1"/>
    <w:next w:val="5"/>
    <w:unhideWhenUsed/>
    <w:qFormat/>
    <w:uiPriority w:val="9"/>
    <w:pPr>
      <w:keepNext/>
      <w:keepLines/>
      <w:numPr>
        <w:ilvl w:val="2"/>
        <w:numId w:val="1"/>
      </w:numPr>
      <w:spacing w:before="120" w:after="180"/>
      <w:outlineLvl w:val="2"/>
    </w:pPr>
    <w:rPr>
      <w:rFonts w:ascii="Arial" w:hAnsi="Arial" w:eastAsia="黑体"/>
      <w:b/>
      <w:bCs/>
      <w:sz w:val="30"/>
      <w:szCs w:val="32"/>
    </w:rPr>
  </w:style>
  <w:style w:type="paragraph" w:styleId="6">
    <w:name w:val="heading 4"/>
    <w:basedOn w:val="1"/>
    <w:next w:val="5"/>
    <w:unhideWhenUsed/>
    <w:qFormat/>
    <w:uiPriority w:val="9"/>
    <w:pPr>
      <w:keepNext/>
      <w:keepLines/>
      <w:numPr>
        <w:ilvl w:val="3"/>
        <w:numId w:val="1"/>
      </w:numPr>
      <w:spacing w:before="60" w:after="60"/>
      <w:outlineLvl w:val="3"/>
    </w:pPr>
    <w:rPr>
      <w:rFonts w:ascii="Arial" w:hAnsi="Arial" w:eastAsia="黑体" w:cstheme="majorBidi"/>
      <w:b/>
      <w:bCs/>
      <w:sz w:val="28"/>
      <w:szCs w:val="28"/>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w:basedOn w:val="1"/>
    <w:unhideWhenUsed/>
    <w:qFormat/>
    <w:uiPriority w:val="99"/>
    <w:pPr>
      <w:spacing w:before="156" w:beforeLines="50" w:after="120"/>
      <w:ind w:firstLine="200" w:firstLineChars="200"/>
    </w:pPr>
    <w:rPr>
      <w:color w:val="000000"/>
      <w:szCs w:val="22"/>
    </w:rPr>
  </w:style>
  <w:style w:type="paragraph" w:styleId="5">
    <w:name w:val="List Paragraph"/>
    <w:basedOn w:val="1"/>
    <w:qFormat/>
    <w:uiPriority w:val="34"/>
    <w:pPr>
      <w:ind w:firstLine="420" w:firstLineChars="200"/>
    </w:pPr>
  </w:style>
  <w:style w:type="paragraph" w:styleId="7">
    <w:name w:val="Normal Indent"/>
    <w:basedOn w:val="1"/>
    <w:qFormat/>
    <w:uiPriority w:val="0"/>
    <w:pPr>
      <w:spacing w:before="156" w:beforeLines="50" w:after="156" w:afterLines="50"/>
      <w:ind w:firstLine="420" w:firstLineChars="200"/>
    </w:p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0"/>
    <w:pPr>
      <w:pBdr>
        <w:bottom w:val="single" w:color="auto" w:sz="4" w:space="1"/>
      </w:pBdr>
      <w:tabs>
        <w:tab w:val="center" w:pos="4153"/>
        <w:tab w:val="right" w:pos="8306"/>
      </w:tabs>
      <w:snapToGrid w:val="0"/>
      <w:jc w:val="center"/>
    </w:pPr>
    <w:rPr>
      <w:sz w:val="18"/>
      <w:szCs w:val="18"/>
    </w:rPr>
  </w:style>
  <w:style w:type="paragraph" w:customStyle="1" w:styleId="12">
    <w:name w:val="TableOfAuthoring"/>
    <w:basedOn w:val="1"/>
    <w:next w:val="1"/>
    <w:qFormat/>
    <w:uiPriority w:val="0"/>
    <w:pPr>
      <w:ind w:left="420" w:leftChars="200"/>
    </w:pPr>
  </w:style>
  <w:style w:type="paragraph" w:customStyle="1" w:styleId="13">
    <w:name w:val="表格列标题"/>
    <w:basedOn w:val="1"/>
    <w:qFormat/>
    <w:uiPriority w:val="0"/>
    <w:pPr>
      <w:jc w:val="center"/>
    </w:pPr>
    <w:rPr>
      <w:rFonts w:ascii="Arial" w:hAnsi="Arial" w:cs="Arial"/>
      <w:b/>
      <w:sz w:val="18"/>
    </w:rPr>
  </w:style>
  <w:style w:type="paragraph" w:customStyle="1" w:styleId="14">
    <w:name w:val="表格文字 居中"/>
    <w:basedOn w:val="15"/>
    <w:qFormat/>
    <w:uiPriority w:val="0"/>
  </w:style>
  <w:style w:type="paragraph" w:customStyle="1" w:styleId="15">
    <w:name w:val="表格正文-中间对齐"/>
    <w:qFormat/>
    <w:uiPriority w:val="0"/>
    <w:pPr>
      <w:jc w:val="center"/>
    </w:pPr>
    <w:rPr>
      <w:rFonts w:ascii="Times New Roman" w:hAnsi="Times New Roman" w:eastAsia="宋体" w:cs="宋体"/>
      <w:kern w:val="2"/>
      <w:sz w:val="21"/>
      <w:lang w:val="en-US" w:eastAsia="zh-CN" w:bidi="ar-SA"/>
    </w:rPr>
  </w:style>
  <w:style w:type="paragraph" w:customStyle="1" w:styleId="16">
    <w:name w:val="表格文字 左对齐"/>
    <w:basedOn w:val="1"/>
    <w:qFormat/>
    <w:uiPriority w:val="0"/>
    <w:pPr>
      <w:jc w:val="left"/>
    </w:pPr>
    <w:rPr>
      <w:rFonts w:ascii="Arial" w:hAnsi="Arial" w:cs="Arial"/>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DoubleOX</Company>
  <Pages>9</Pages>
  <Words>265</Words>
  <Characters>1511</Characters>
  <Lines>12</Lines>
  <Paragraphs>3</Paragraphs>
  <TotalTime>47</TotalTime>
  <ScaleCrop>false</ScaleCrop>
  <LinksUpToDate>false</LinksUpToDate>
  <CharactersWithSpaces>1773</CharactersWithSpaces>
  <Application>WPS Office_6.7.0.8823_F1E327BC-269C-435d-A152-05C5408002CA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2023-08-10T19:51:00Z</dcterms:created>
  <dc:creator>john</dc:creator>
  <cp:lastModifiedBy>Cleverr</cp:lastModifiedBy>
  <dcterms:modified xsi:type="dcterms:W3CDTF">2024-05-10T12:28:26Z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2052-6.7.0.8823</vt:lpwstr>
  </property>
  <property fmtid="{D5CDD505-2E9C-101B-9397-08002B2CF9AE}" pid="3" name="ICV">
    <vt:lpwstr>8638C04CE5D3AD7091D739667B0EE08C_43</vt:lpwstr>
  </property>
</Properties>
</file>