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bookmarkStart w:id="0" w:name="_Toc413512004"/>
      <w:r>
        <w:rPr>
          <w:rFonts w:hint="eastAsia" w:ascii="宋体" w:hAnsi="宋体" w:eastAsia="宋体"/>
        </w:rPr>
        <w:t>A06478《资产负债表（适用执行民间非营利组织会计制度的组织）》</w:t>
      </w:r>
      <w:bookmarkEnd w:id="0"/>
    </w:p>
    <w:p>
      <w:pPr>
        <w:pStyle w:val="5"/>
        <w:ind w:firstLine="422"/>
        <w:outlineLvl w:val="2"/>
        <w:rPr>
          <w:rFonts w:ascii="宋体" w:hAnsi="宋体" w:eastAsia="宋体" w:cs="Arial"/>
          <w:b/>
          <w:color w:val="000000"/>
        </w:rPr>
      </w:pPr>
      <w:bookmarkStart w:id="1" w:name="_GoBack"/>
      <w:bookmarkEnd w:id="1"/>
    </w:p>
    <w:p>
      <w:pPr>
        <w:pStyle w:val="5"/>
        <w:jc w:val="center"/>
        <w:rPr>
          <w:rFonts w:ascii="宋体" w:hAnsi="宋体" w:eastAsia="宋体"/>
          <w:b/>
          <w:bCs/>
          <w:color w:val="000000"/>
        </w:rPr>
      </w:pPr>
      <w:r>
        <w:rPr>
          <w:rFonts w:hint="eastAsia" w:ascii="宋体" w:hAnsi="宋体" w:eastAsia="宋体"/>
          <w:b/>
          <w:bCs/>
          <w:color w:val="000000"/>
        </w:rPr>
        <w:t>资 产 负 债 表（适用执行民间非营利组织会计制度的组织）</w:t>
      </w:r>
    </w:p>
    <w:p>
      <w:pPr>
        <w:pStyle w:val="5"/>
        <w:jc w:val="center"/>
        <w:rPr>
          <w:rFonts w:ascii="宋体" w:hAnsi="宋体" w:eastAsia="宋体"/>
          <w:color w:val="000000"/>
        </w:rPr>
      </w:pPr>
    </w:p>
    <w:p>
      <w:pPr>
        <w:pStyle w:val="5"/>
        <w:jc w:val="right"/>
        <w:rPr>
          <w:rFonts w:ascii="宋体" w:hAnsi="宋体" w:eastAsia="宋体"/>
          <w:color w:val="000000"/>
          <w:szCs w:val="21"/>
        </w:rPr>
      </w:pPr>
      <w:r>
        <w:rPr>
          <w:rFonts w:hint="eastAsia" w:ascii="宋体" w:hAnsi="宋体" w:eastAsia="宋体"/>
          <w:color w:val="000000"/>
          <w:szCs w:val="21"/>
        </w:rPr>
        <w:t>会民非01表</w:t>
      </w:r>
    </w:p>
    <w:p>
      <w:pPr>
        <w:pStyle w:val="5"/>
        <w:rPr>
          <w:rFonts w:ascii="宋体" w:hAnsi="宋体" w:eastAsia="宋体"/>
          <w:color w:val="000000"/>
          <w:szCs w:val="21"/>
        </w:rPr>
      </w:pPr>
      <w:r>
        <w:rPr>
          <w:rFonts w:hint="eastAsia" w:ascii="宋体" w:hAnsi="宋体" w:eastAsia="宋体"/>
          <w:color w:val="000000"/>
          <w:szCs w:val="21"/>
        </w:rPr>
        <w:t xml:space="preserve">编制单位_____        </w:t>
      </w:r>
      <w:r>
        <w:rPr>
          <w:rFonts w:hint="eastAsia" w:ascii="宋体" w:hAnsi="宋体" w:eastAsia="宋体"/>
          <w:color w:val="000000"/>
          <w:szCs w:val="21"/>
          <w:u w:val="single"/>
        </w:rPr>
        <w:t>  </w:t>
      </w:r>
      <w:r>
        <w:rPr>
          <w:rFonts w:hint="eastAsia" w:ascii="宋体" w:hAnsi="宋体" w:eastAsia="宋体"/>
          <w:color w:val="000000"/>
          <w:szCs w:val="21"/>
        </w:rPr>
        <w:t>年</w:t>
      </w:r>
      <w:r>
        <w:rPr>
          <w:rFonts w:hint="eastAsia" w:ascii="宋体" w:hAnsi="宋体" w:eastAsia="宋体"/>
          <w:color w:val="000000"/>
          <w:szCs w:val="21"/>
          <w:u w:val="single"/>
        </w:rPr>
        <w:t xml:space="preserve">   </w:t>
      </w:r>
      <w:r>
        <w:rPr>
          <w:rFonts w:hint="eastAsia" w:ascii="宋体" w:hAnsi="宋体" w:eastAsia="宋体"/>
          <w:color w:val="000000"/>
          <w:szCs w:val="21"/>
        </w:rPr>
        <w:t>月</w:t>
      </w:r>
      <w:r>
        <w:rPr>
          <w:rFonts w:hint="eastAsia" w:ascii="宋体" w:hAnsi="宋体" w:eastAsia="宋体"/>
          <w:color w:val="000000"/>
          <w:szCs w:val="21"/>
          <w:u w:val="single"/>
        </w:rPr>
        <w:t xml:space="preserve">  </w:t>
      </w:r>
      <w:r>
        <w:rPr>
          <w:rFonts w:hint="eastAsia" w:ascii="宋体" w:hAnsi="宋体" w:eastAsia="宋体"/>
          <w:color w:val="000000"/>
          <w:szCs w:val="21"/>
        </w:rPr>
        <w:t>日    　　　　单位：元</w:t>
      </w:r>
    </w:p>
    <w:tbl>
      <w:tblPr>
        <w:tblStyle w:val="2"/>
        <w:tblW w:w="14324" w:type="dxa"/>
        <w:tblInd w:w="0" w:type="dxa"/>
        <w:tblLayout w:type="fixed"/>
        <w:tblCellMar>
          <w:top w:w="0" w:type="dxa"/>
          <w:left w:w="0" w:type="dxa"/>
          <w:bottom w:w="0" w:type="dxa"/>
          <w:right w:w="0" w:type="dxa"/>
        </w:tblCellMar>
      </w:tblPr>
      <w:tblGrid>
        <w:gridCol w:w="3803"/>
        <w:gridCol w:w="886"/>
        <w:gridCol w:w="1452"/>
        <w:gridCol w:w="1461"/>
        <w:gridCol w:w="3507"/>
        <w:gridCol w:w="877"/>
        <w:gridCol w:w="1169"/>
        <w:gridCol w:w="1169"/>
      </w:tblGrid>
      <w:tr>
        <w:tblPrEx>
          <w:tblLayout w:type="fixed"/>
          <w:tblCellMar>
            <w:top w:w="0" w:type="dxa"/>
            <w:left w:w="0" w:type="dxa"/>
            <w:bottom w:w="0" w:type="dxa"/>
            <w:right w:w="0" w:type="dxa"/>
          </w:tblCellMar>
        </w:tblPrEx>
        <w:trPr>
          <w:trHeight w:val="202" w:hRule="atLeast"/>
        </w:trPr>
        <w:tc>
          <w:tcPr>
            <w:tcW w:w="3803" w:type="dxa"/>
            <w:tcBorders>
              <w:top w:val="single" w:color="000000" w:sz="8" w:space="0"/>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资    产</w:t>
            </w:r>
          </w:p>
        </w:tc>
        <w:tc>
          <w:tcPr>
            <w:tcW w:w="886" w:type="dxa"/>
            <w:tcBorders>
              <w:top w:val="single" w:color="000000" w:sz="8" w:space="0"/>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行次</w:t>
            </w:r>
          </w:p>
        </w:tc>
        <w:tc>
          <w:tcPr>
            <w:tcW w:w="1452" w:type="dxa"/>
            <w:tcBorders>
              <w:top w:val="single" w:color="000000" w:sz="8" w:space="0"/>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年初数</w:t>
            </w:r>
          </w:p>
        </w:tc>
        <w:tc>
          <w:tcPr>
            <w:tcW w:w="1461" w:type="dxa"/>
            <w:tcBorders>
              <w:top w:val="single" w:color="000000" w:sz="8" w:space="0"/>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期末数</w:t>
            </w:r>
          </w:p>
        </w:tc>
        <w:tc>
          <w:tcPr>
            <w:tcW w:w="3507" w:type="dxa"/>
            <w:tcBorders>
              <w:top w:val="single" w:color="000000" w:sz="8" w:space="0"/>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负债和净资产</w:t>
            </w:r>
          </w:p>
        </w:tc>
        <w:tc>
          <w:tcPr>
            <w:tcW w:w="877" w:type="dxa"/>
            <w:tcBorders>
              <w:top w:val="single" w:color="000000" w:sz="8" w:space="0"/>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行次</w:t>
            </w:r>
          </w:p>
        </w:tc>
        <w:tc>
          <w:tcPr>
            <w:tcW w:w="1169" w:type="dxa"/>
            <w:tcBorders>
              <w:top w:val="single" w:color="000000" w:sz="8" w:space="0"/>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年初数</w:t>
            </w:r>
          </w:p>
        </w:tc>
        <w:tc>
          <w:tcPr>
            <w:tcW w:w="1169" w:type="dxa"/>
            <w:tcBorders>
              <w:top w:val="single" w:color="000000" w:sz="8" w:space="0"/>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期末数</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流动资产：</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流动负债：</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货币资金</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1</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短期借款</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61</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短期投资</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2</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应付款项</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62</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应收款项</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3</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应付工资</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63</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预付账款</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4</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应交税金</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65</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存  货</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8</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预收账款</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66</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待摊费用</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9</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预提费用</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71</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一年内到期的长期债权投资</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15</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预计负债</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72</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其他流动资产</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18</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一年内到期的长期负债</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74</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流动资产合计</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20</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其他流动负债</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78</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流动负债合计</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80</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长期投资：</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长期股权投资</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21</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长期负债：</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长期债权投资</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24</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长期借款</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81</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长期投资合计</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30</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长期应付款</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84</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其他长期负债</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88</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固定资产：</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长期负债合计</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90</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固定资产原价</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31</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减：累计折旧</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32</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受托代理负债：</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固定资产净值</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33</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受托代理负债</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91</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在建工程</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34</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文物文化资产</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35</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负债合计</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100</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固定资产清理</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38</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固定资产合计</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40</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无形资产：</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无形资产</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41</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净资产：</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非限定性净资产</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101</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受托代理资产：</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限定性净资产</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105</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受托代理资产</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51</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净资产合计</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110</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r>
        <w:tblPrEx>
          <w:tblLayout w:type="fixed"/>
          <w:tblCellMar>
            <w:top w:w="0" w:type="dxa"/>
            <w:left w:w="0" w:type="dxa"/>
            <w:bottom w:w="0" w:type="dxa"/>
            <w:right w:w="0" w:type="dxa"/>
          </w:tblCellMar>
        </w:tblPrEx>
        <w:trPr>
          <w:trHeight w:val="202" w:hRule="atLeast"/>
        </w:trPr>
        <w:tc>
          <w:tcPr>
            <w:tcW w:w="3803" w:type="dxa"/>
            <w:tcBorders>
              <w:top w:val="nil"/>
              <w:left w:val="single" w:color="000000" w:sz="8" w:space="0"/>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资产总计</w:t>
            </w:r>
          </w:p>
        </w:tc>
        <w:tc>
          <w:tcPr>
            <w:tcW w:w="886"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60</w:t>
            </w:r>
          </w:p>
        </w:tc>
        <w:tc>
          <w:tcPr>
            <w:tcW w:w="1452"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461"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350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负债和净资产总计</w:t>
            </w:r>
          </w:p>
        </w:tc>
        <w:tc>
          <w:tcPr>
            <w:tcW w:w="877"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120</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c>
          <w:tcPr>
            <w:tcW w:w="1169" w:type="dxa"/>
            <w:tcBorders>
              <w:top w:val="nil"/>
              <w:left w:val="nil"/>
              <w:bottom w:val="single" w:color="000000" w:sz="8" w:space="0"/>
              <w:right w:val="single" w:color="000000" w:sz="8" w:space="0"/>
            </w:tcBorders>
            <w:noWrap w:val="0"/>
            <w:tcMar>
              <w:top w:w="0" w:type="dxa"/>
              <w:left w:w="30" w:type="dxa"/>
              <w:bottom w:w="0" w:type="dxa"/>
              <w:right w:w="30" w:type="dxa"/>
            </w:tcMar>
            <w:vAlign w:val="top"/>
          </w:tcPr>
          <w:p>
            <w:pPr>
              <w:pStyle w:val="5"/>
              <w:widowControl w:val="0"/>
              <w:jc w:val="both"/>
              <w:rPr>
                <w:rFonts w:ascii="宋体" w:hAnsi="宋体" w:eastAsia="宋体"/>
                <w:color w:val="000000"/>
                <w:szCs w:val="21"/>
              </w:rPr>
            </w:pPr>
            <w:r>
              <w:rPr>
                <w:rFonts w:hint="eastAsia" w:ascii="宋体" w:hAnsi="宋体" w:eastAsia="宋体"/>
                <w:color w:val="000000"/>
                <w:szCs w:val="21"/>
              </w:rPr>
              <w:t> </w:t>
            </w:r>
          </w:p>
        </w:tc>
      </w:tr>
    </w:tbl>
    <w:p>
      <w:pPr>
        <w:pStyle w:val="5"/>
        <w:rPr>
          <w:rFonts w:ascii="宋体" w:hAnsi="宋体" w:eastAsia="宋体"/>
          <w:color w:val="000000"/>
        </w:rPr>
      </w:pPr>
      <w:r>
        <w:rPr>
          <w:rFonts w:ascii="宋体" w:hAnsi="宋体" w:eastAsia="宋体"/>
          <w:color w:val="000000"/>
        </w:rPr>
        <w:t> </w:t>
      </w:r>
    </w:p>
    <w:p>
      <w:pPr>
        <w:pStyle w:val="5"/>
        <w:rPr>
          <w:rFonts w:ascii="宋体" w:hAnsi="宋体" w:eastAsia="宋体"/>
          <w:color w:val="000000"/>
        </w:rPr>
      </w:pPr>
    </w:p>
    <w:p>
      <w:pPr>
        <w:pStyle w:val="5"/>
        <w:ind w:firstLine="422"/>
        <w:outlineLvl w:val="2"/>
        <w:rPr>
          <w:rFonts w:ascii="宋体" w:hAnsi="宋体" w:eastAsia="宋体" w:cs="Arial"/>
          <w:b/>
          <w:color w:val="000000"/>
        </w:rPr>
      </w:pPr>
      <w:r>
        <w:rPr>
          <w:rFonts w:hint="eastAsia" w:ascii="宋体" w:hAnsi="宋体" w:eastAsia="宋体" w:cs="Arial"/>
          <w:b/>
          <w:color w:val="000000"/>
        </w:rPr>
        <w:t>【表单说明】</w:t>
      </w:r>
    </w:p>
    <w:p>
      <w:pPr>
        <w:pStyle w:val="5"/>
        <w:ind w:firstLine="420"/>
        <w:rPr>
          <w:rFonts w:ascii="宋体" w:hAnsi="宋体" w:eastAsia="宋体" w:cs="Arial"/>
          <w:color w:val="000000"/>
        </w:rPr>
      </w:pPr>
      <w:r>
        <w:rPr>
          <w:rFonts w:hint="eastAsia" w:ascii="宋体" w:hAnsi="宋体" w:eastAsia="宋体" w:cs="Arial"/>
          <w:color w:val="000000"/>
        </w:rPr>
        <w:t>1.本表反映民间非营利组织某一会计期末全部资产、负债和净资产的情况。</w:t>
      </w:r>
    </w:p>
    <w:p>
      <w:pPr>
        <w:pStyle w:val="5"/>
        <w:ind w:firstLine="420"/>
        <w:rPr>
          <w:rFonts w:ascii="宋体" w:hAnsi="宋体" w:eastAsia="宋体" w:cs="Arial"/>
          <w:color w:val="000000"/>
        </w:rPr>
      </w:pPr>
      <w:r>
        <w:rPr>
          <w:rFonts w:hint="eastAsia" w:ascii="宋体" w:hAnsi="宋体" w:eastAsia="宋体" w:cs="Arial"/>
          <w:color w:val="000000"/>
        </w:rPr>
        <w:t>2.本表“年初数”栏内各项数字，应当根据上年年末资产负债表“期末数”栏内数字填列。如果本年度资产负债表规定的各个项目的名称和内容同上年度不相一致，应对上年年末资产负债表各项目的名称和数字按照本年度的规定进行调整，填入本表“年初数”栏内。</w:t>
      </w:r>
    </w:p>
    <w:p>
      <w:pPr>
        <w:pStyle w:val="5"/>
        <w:ind w:firstLine="420"/>
        <w:rPr>
          <w:rFonts w:ascii="宋体" w:hAnsi="宋体" w:eastAsia="宋体" w:cs="Arial"/>
          <w:color w:val="000000"/>
        </w:rPr>
      </w:pPr>
      <w:r>
        <w:rPr>
          <w:rFonts w:hint="eastAsia" w:ascii="宋体" w:hAnsi="宋体" w:eastAsia="宋体" w:cs="Arial"/>
          <w:color w:val="000000"/>
        </w:rPr>
        <w:t>3.本表“期末数”各项目的内容和填列方法：</w:t>
      </w:r>
    </w:p>
    <w:p>
      <w:pPr>
        <w:pStyle w:val="5"/>
        <w:ind w:firstLine="420"/>
        <w:rPr>
          <w:rFonts w:ascii="宋体" w:hAnsi="宋体" w:eastAsia="宋体" w:cs="Arial"/>
          <w:color w:val="000000"/>
        </w:rPr>
      </w:pPr>
      <w:r>
        <w:rPr>
          <w:rFonts w:hint="eastAsia" w:ascii="宋体" w:hAnsi="宋体" w:eastAsia="宋体" w:cs="Arial"/>
          <w:color w:val="000000"/>
        </w:rPr>
        <w:t>（1）“货币资金”项目，反映民间非营利组织期末库存现金、存放银行的各类款项以及其他货币资金的合计数。本项目应当根据“现金”、“银行存款”、“其他货币资金”科目的期末余额合计填列。如果民间非营利组织的受托代理资产为现金、银行存款或其他货币资金且通过“现金”、“银行存款”、“其他货币资金”科目核算，还应当扣减“现金”、“银行存款”、“其他货币资金”科目中“受托代理资产”明细科目的期末余额。</w:t>
      </w:r>
    </w:p>
    <w:p>
      <w:pPr>
        <w:pStyle w:val="5"/>
        <w:ind w:firstLine="420"/>
        <w:rPr>
          <w:rFonts w:ascii="宋体" w:hAnsi="宋体" w:eastAsia="宋体" w:cs="Arial"/>
          <w:color w:val="000000"/>
        </w:rPr>
      </w:pPr>
      <w:r>
        <w:rPr>
          <w:rFonts w:hint="eastAsia" w:ascii="宋体" w:hAnsi="宋体" w:eastAsia="宋体" w:cs="Arial"/>
          <w:color w:val="000000"/>
        </w:rPr>
        <w:t>（2）“短期投资”项目，反映民间非营利组织持有的各种能够随时变现并且持有时间不准备超过1年（含1年）的投资，包括短期股票、债券投资和短期委托贷款、委托投资等。本项目应当根据“短期投资”科目的期末余额，减去“短期投资跌价准备”科目的期末余额后的金额填列。</w:t>
      </w:r>
    </w:p>
    <w:p>
      <w:pPr>
        <w:pStyle w:val="5"/>
        <w:ind w:firstLine="420"/>
        <w:rPr>
          <w:rFonts w:ascii="宋体" w:hAnsi="宋体" w:eastAsia="宋体" w:cs="Arial"/>
          <w:color w:val="000000"/>
        </w:rPr>
      </w:pPr>
      <w:r>
        <w:rPr>
          <w:rFonts w:hint="eastAsia" w:ascii="宋体" w:hAnsi="宋体" w:eastAsia="宋体" w:cs="Arial"/>
          <w:color w:val="000000"/>
        </w:rPr>
        <w:t>（3）“应收款项”项目，反映民间非营利组织期末应收票据、应收账款和其他应收款等应收未收款项。本项目应当根据“应收票据”、“应收账款”、“其他应收款”科目的期末余额合计，减去“坏账准备”科目的期末余额后的金额填列。</w:t>
      </w:r>
    </w:p>
    <w:p>
      <w:pPr>
        <w:pStyle w:val="5"/>
        <w:ind w:firstLine="420"/>
        <w:rPr>
          <w:rFonts w:ascii="宋体" w:hAnsi="宋体" w:eastAsia="宋体" w:cs="Arial"/>
          <w:color w:val="000000"/>
        </w:rPr>
      </w:pPr>
      <w:r>
        <w:rPr>
          <w:rFonts w:hint="eastAsia" w:ascii="宋体" w:hAnsi="宋体" w:eastAsia="宋体" w:cs="Arial"/>
          <w:color w:val="000000"/>
        </w:rPr>
        <w:t>（4）“预付账款”项目，反映民间非营利组织预付给商品或者服务供应单位等的款项。本项目应当根据“预付账款”科目的期末余额填列。</w:t>
      </w:r>
    </w:p>
    <w:p>
      <w:pPr>
        <w:pStyle w:val="5"/>
        <w:ind w:firstLine="420"/>
        <w:rPr>
          <w:rFonts w:ascii="宋体" w:hAnsi="宋体" w:eastAsia="宋体" w:cs="Arial"/>
          <w:color w:val="000000"/>
        </w:rPr>
      </w:pPr>
      <w:r>
        <w:rPr>
          <w:rFonts w:hint="eastAsia" w:ascii="宋体" w:hAnsi="宋体" w:eastAsia="宋体" w:cs="Arial"/>
          <w:color w:val="000000"/>
        </w:rPr>
        <w:t>（5）“存货”项目，反映民间非营利组织在日常业务活动中持有以备出售或捐赠的，或者为了出售或捐赠仍处在生产过程中的，或者将在生产、提供服务或日常管理过程中耗用的材料、物资、商品等。本项目应当根据“存货”科目的期末余额，减去“存货跌价准备”科目的期末余额后的金额填列。</w:t>
      </w:r>
    </w:p>
    <w:p>
      <w:pPr>
        <w:pStyle w:val="5"/>
        <w:ind w:firstLine="420"/>
        <w:rPr>
          <w:rFonts w:ascii="宋体" w:hAnsi="宋体" w:eastAsia="宋体" w:cs="Arial"/>
          <w:color w:val="000000"/>
        </w:rPr>
      </w:pPr>
      <w:r>
        <w:rPr>
          <w:rFonts w:hint="eastAsia" w:ascii="宋体" w:hAnsi="宋体" w:eastAsia="宋体" w:cs="Arial"/>
          <w:color w:val="000000"/>
        </w:rPr>
        <w:t>（6）“待摊费用”项目，反映民间非营利组织已经支出，但应当由本期和以后各期分别负担的、分摊期在1年以内（含1年）的各项费用，如预付保险费、预付租金等。本项目应当根据“待摊费用”科目的期末余额填列。</w:t>
      </w:r>
    </w:p>
    <w:p>
      <w:pPr>
        <w:pStyle w:val="5"/>
        <w:ind w:firstLine="420"/>
        <w:rPr>
          <w:rFonts w:ascii="宋体" w:hAnsi="宋体" w:eastAsia="宋体" w:cs="Arial"/>
          <w:color w:val="000000"/>
        </w:rPr>
      </w:pPr>
      <w:r>
        <w:rPr>
          <w:rFonts w:hint="eastAsia" w:ascii="宋体" w:hAnsi="宋体" w:eastAsia="宋体" w:cs="Arial"/>
          <w:color w:val="000000"/>
        </w:rPr>
        <w:t>（7）“一年内到期的长期债权投资”项目，反映民间非营利组织将在1年内（含1年）到期的长期债权投资。本项目应当根据“长期债权投资”科目的期末余额中将在1年内（含1年）到期的长期债权投资余额，减去“长期投资减值准备”科目的期末余额中1年内（含1年）到期的长期债权投资减值准备余额后的金额填列。</w:t>
      </w:r>
    </w:p>
    <w:p>
      <w:pPr>
        <w:pStyle w:val="5"/>
        <w:ind w:firstLine="420"/>
        <w:rPr>
          <w:rFonts w:ascii="宋体" w:hAnsi="宋体" w:eastAsia="宋体" w:cs="Arial"/>
          <w:color w:val="000000"/>
        </w:rPr>
      </w:pPr>
      <w:r>
        <w:rPr>
          <w:rFonts w:hint="eastAsia" w:ascii="宋体" w:hAnsi="宋体" w:eastAsia="宋体" w:cs="Arial"/>
          <w:color w:val="000000"/>
        </w:rPr>
        <w:t>（8）“其他流动资产”项目，反映民间非营利组织除以上流动资产项目外的其他流动资产。本项目应当根据有关科目的期末余额分析填列。如果其他流动资产价值较大的，应当在会计报表附注中单独披露其内容和金额。</w:t>
      </w:r>
    </w:p>
    <w:p>
      <w:pPr>
        <w:pStyle w:val="5"/>
        <w:ind w:firstLine="420"/>
        <w:rPr>
          <w:rFonts w:ascii="宋体" w:hAnsi="宋体" w:eastAsia="宋体" w:cs="Arial"/>
          <w:color w:val="000000"/>
        </w:rPr>
      </w:pPr>
      <w:r>
        <w:rPr>
          <w:rFonts w:hint="eastAsia" w:ascii="宋体" w:hAnsi="宋体" w:eastAsia="宋体" w:cs="Arial"/>
          <w:color w:val="000000"/>
        </w:rPr>
        <w:t>（9）“长期股权投资”项目，反映民间非营利组织不准备在1年内（含1年）变现的各种股权性质的投资的可收回金额。本项目应当根据“长期股权投资”科目的期末余额，减去“长期投资减值准备”科目的期末余额中长期股权投资减值准备余额后的金额填列。</w:t>
      </w:r>
    </w:p>
    <w:p>
      <w:pPr>
        <w:pStyle w:val="5"/>
        <w:ind w:firstLine="420"/>
        <w:rPr>
          <w:rFonts w:ascii="宋体" w:hAnsi="宋体" w:eastAsia="宋体" w:cs="Arial"/>
          <w:color w:val="000000"/>
        </w:rPr>
      </w:pPr>
      <w:r>
        <w:rPr>
          <w:rFonts w:hint="eastAsia" w:ascii="宋体" w:hAnsi="宋体" w:eastAsia="宋体" w:cs="Arial"/>
          <w:color w:val="000000"/>
        </w:rPr>
        <w:t>（10）“长期债权投资”项目，反映民间非营利组织不准备在1年内（含1年）变现的各种债权性质的投资的可收回金额。本项目应当根据“长期债权投资”科目的期末余额，减去“长期投资减值准备”科目的期末余额中长期债权投资减值准备余额，再减去本表“一年内到期的长期债权投资”项目金额后的金额填列。</w:t>
      </w:r>
    </w:p>
    <w:p>
      <w:pPr>
        <w:pStyle w:val="5"/>
        <w:ind w:firstLine="420"/>
        <w:rPr>
          <w:rFonts w:ascii="宋体" w:hAnsi="宋体" w:eastAsia="宋体" w:cs="Arial"/>
          <w:color w:val="000000"/>
        </w:rPr>
      </w:pPr>
      <w:r>
        <w:rPr>
          <w:rFonts w:hint="eastAsia" w:ascii="宋体" w:hAnsi="宋体" w:eastAsia="宋体" w:cs="Arial"/>
          <w:color w:val="000000"/>
        </w:rPr>
        <w:t>（11）“固定资产”项目，反映民间非营利组织的各项固定资产的账面价值。本项目应当根据“固定资产”科目的期末余额，减去“累计折旧”科目的期末余额后的金额填列。</w:t>
      </w:r>
    </w:p>
    <w:p>
      <w:pPr>
        <w:pStyle w:val="5"/>
        <w:ind w:firstLine="420"/>
        <w:rPr>
          <w:rFonts w:ascii="宋体" w:hAnsi="宋体" w:eastAsia="宋体" w:cs="Arial"/>
          <w:color w:val="000000"/>
        </w:rPr>
      </w:pPr>
      <w:r>
        <w:rPr>
          <w:rFonts w:hint="eastAsia" w:ascii="宋体" w:hAnsi="宋体" w:eastAsia="宋体" w:cs="Arial"/>
          <w:color w:val="000000"/>
        </w:rPr>
        <w:t>（12）“在建工程”项目，反映民间非营利组织期末各项未完工程的实际支出，包括交付安装的设备价值、已耗用的材料、工资和费用支出、预付出包工程的价款等。本项目应当根据“在建工程”科目的期末余额填列。</w:t>
      </w:r>
    </w:p>
    <w:p>
      <w:pPr>
        <w:pStyle w:val="5"/>
        <w:ind w:firstLine="420"/>
        <w:rPr>
          <w:rFonts w:ascii="宋体" w:hAnsi="宋体" w:eastAsia="宋体" w:cs="Arial"/>
          <w:color w:val="000000"/>
        </w:rPr>
      </w:pPr>
      <w:r>
        <w:rPr>
          <w:rFonts w:hint="eastAsia" w:ascii="宋体" w:hAnsi="宋体" w:eastAsia="宋体" w:cs="Arial"/>
          <w:color w:val="000000"/>
        </w:rPr>
        <w:t>（13）“文物文化资产”项目，反映民间非营利组织用于展览、教育或研究等目的的历史文物、艺术品以及其他具有文化或者历史价值并作长期或者永久保存的典藏等。本项目应当根据“文物文化资产”科目的期末借方余额填列。</w:t>
      </w:r>
    </w:p>
    <w:p>
      <w:pPr>
        <w:pStyle w:val="5"/>
        <w:ind w:firstLine="420"/>
        <w:rPr>
          <w:rFonts w:ascii="宋体" w:hAnsi="宋体" w:eastAsia="宋体" w:cs="Arial"/>
          <w:color w:val="000000"/>
        </w:rPr>
      </w:pPr>
      <w:r>
        <w:rPr>
          <w:rFonts w:hint="eastAsia" w:ascii="宋体" w:hAnsi="宋体" w:eastAsia="宋体" w:cs="Arial"/>
          <w:color w:val="000000"/>
        </w:rPr>
        <w:t>（14）“固定资产清理”项目，反映民间非营利组织因出售、毁损、报废等原因转入清理但尚未清理完毕的固定资产的账面价值，以及固定资产清理过程中发生的清理费用和变价收入等各项金额的差额。本项目应当根据“固定资产清理”科目的期末借方余额填列；如果“固定资产清理”科目期末为贷方余额，则以“－”号填列。</w:t>
      </w:r>
    </w:p>
    <w:p>
      <w:pPr>
        <w:pStyle w:val="5"/>
        <w:ind w:firstLine="420"/>
        <w:rPr>
          <w:rFonts w:ascii="宋体" w:hAnsi="宋体" w:eastAsia="宋体" w:cs="Arial"/>
          <w:color w:val="000000"/>
        </w:rPr>
      </w:pPr>
      <w:r>
        <w:rPr>
          <w:rFonts w:hint="eastAsia" w:ascii="宋体" w:hAnsi="宋体" w:eastAsia="宋体" w:cs="Arial"/>
          <w:color w:val="000000"/>
        </w:rPr>
        <w:t>（15）“无形资产”项目，反映民间非营利组织拥有的为开展业务活动、出租给他人或为管理目的而持有的没有实物形态的非货币性长期资产，包括专利权、非专利技术、商标权、著作权、土地使用权等。本项目应当根据“无形资产”科目的期末余额填列。</w:t>
      </w:r>
    </w:p>
    <w:p>
      <w:pPr>
        <w:pStyle w:val="5"/>
        <w:ind w:firstLine="420"/>
        <w:rPr>
          <w:rFonts w:ascii="宋体" w:hAnsi="宋体" w:eastAsia="宋体" w:cs="Arial"/>
          <w:color w:val="000000"/>
        </w:rPr>
      </w:pPr>
      <w:r>
        <w:rPr>
          <w:rFonts w:hint="eastAsia" w:ascii="宋体" w:hAnsi="宋体" w:eastAsia="宋体" w:cs="Arial"/>
          <w:color w:val="000000"/>
        </w:rPr>
        <w:t>（16）“受托代理资产”项目，反映民间非营利组织接受委托方委托从事受托代理业务而收到的资产。本项目应当根据“受托代理资产”科目的期末余额填列。如果民间非营利组织的受托代理资产为现金、银行存款或其他货币资金且通过“现金”、“银行存款”、“其他货币资金”科目核算，还应当加上“现金”、“银行存款”、“其他货币资金”科目中“受托代理资产”明细科目的期末余额。</w:t>
      </w:r>
    </w:p>
    <w:p>
      <w:pPr>
        <w:pStyle w:val="5"/>
        <w:ind w:firstLine="420"/>
        <w:rPr>
          <w:rFonts w:ascii="宋体" w:hAnsi="宋体" w:eastAsia="宋体" w:cs="Arial"/>
          <w:color w:val="000000"/>
        </w:rPr>
      </w:pPr>
      <w:r>
        <w:rPr>
          <w:rFonts w:hint="eastAsia" w:ascii="宋体" w:hAnsi="宋体" w:eastAsia="宋体" w:cs="Arial"/>
          <w:color w:val="000000"/>
        </w:rPr>
        <w:t>（17）“短期借款”项目，反映民间非营利组织向银行或其他金融机构等借入的、尚未偿还的期限在1年以下（含1年）的各种借款。本项目应当根据“短期借款”科目的期末余额填列。</w:t>
      </w:r>
    </w:p>
    <w:p>
      <w:pPr>
        <w:pStyle w:val="5"/>
        <w:ind w:firstLine="420"/>
        <w:rPr>
          <w:rFonts w:ascii="宋体" w:hAnsi="宋体" w:eastAsia="宋体" w:cs="Arial"/>
          <w:color w:val="000000"/>
        </w:rPr>
      </w:pPr>
      <w:r>
        <w:rPr>
          <w:rFonts w:hint="eastAsia" w:ascii="宋体" w:hAnsi="宋体" w:eastAsia="宋体" w:cs="Arial"/>
          <w:color w:val="000000"/>
        </w:rPr>
        <w:t>（18）“应付款项”项目，反映民间非营利组织期末应付票据、应付账款和其他应付款等应付未付款项。本项目应当根据“应付票据”、“应付账款”、“其他应付款”科目的期末余额合计填列。</w:t>
      </w:r>
    </w:p>
    <w:p>
      <w:pPr>
        <w:pStyle w:val="5"/>
        <w:ind w:firstLine="420"/>
        <w:rPr>
          <w:rFonts w:ascii="宋体" w:hAnsi="宋体" w:eastAsia="宋体" w:cs="Arial"/>
          <w:color w:val="000000"/>
        </w:rPr>
      </w:pPr>
      <w:r>
        <w:rPr>
          <w:rFonts w:hint="eastAsia" w:ascii="宋体" w:hAnsi="宋体" w:eastAsia="宋体" w:cs="Arial"/>
          <w:color w:val="000000"/>
        </w:rPr>
        <w:t>（19）“应付工资”项目，反映民间非营利组织应付未付的员工工资。本项目应当根据“应付工资”科目的期末贷方余额填列；如果“应付工资”科目期末为借方余额，以“－”号填列。</w:t>
      </w:r>
    </w:p>
    <w:p>
      <w:pPr>
        <w:pStyle w:val="5"/>
        <w:ind w:firstLine="420"/>
        <w:rPr>
          <w:rFonts w:ascii="宋体" w:hAnsi="宋体" w:eastAsia="宋体" w:cs="Arial"/>
          <w:color w:val="000000"/>
        </w:rPr>
      </w:pPr>
      <w:r>
        <w:rPr>
          <w:rFonts w:hint="eastAsia" w:ascii="宋体" w:hAnsi="宋体" w:eastAsia="宋体" w:cs="Arial"/>
          <w:color w:val="000000"/>
        </w:rPr>
        <w:t>（20）“应交税金”项目，反映民间非营利组织应交未交的各种税费。本项目应当根据“应交税金”科目的期末贷方余额填列；如果“应交税金”科目期末为借方余额，则以“－”号填列。</w:t>
      </w:r>
    </w:p>
    <w:p>
      <w:pPr>
        <w:pStyle w:val="5"/>
        <w:ind w:firstLine="420"/>
        <w:rPr>
          <w:rFonts w:ascii="宋体" w:hAnsi="宋体" w:eastAsia="宋体" w:cs="Arial"/>
          <w:color w:val="000000"/>
        </w:rPr>
      </w:pPr>
      <w:r>
        <w:rPr>
          <w:rFonts w:hint="eastAsia" w:ascii="宋体" w:hAnsi="宋体" w:eastAsia="宋体" w:cs="Arial"/>
          <w:color w:val="000000"/>
        </w:rPr>
        <w:t>（21）“预收账款”项目，反映民间非营利组织向服务和商品购买单位等预收的各种款项。本项目应当根据“预收账款”科目的期末余额填列。</w:t>
      </w:r>
    </w:p>
    <w:p>
      <w:pPr>
        <w:pStyle w:val="5"/>
        <w:ind w:firstLine="420"/>
        <w:rPr>
          <w:rFonts w:ascii="宋体" w:hAnsi="宋体" w:eastAsia="宋体" w:cs="Arial"/>
          <w:color w:val="000000"/>
        </w:rPr>
      </w:pPr>
      <w:r>
        <w:rPr>
          <w:rFonts w:hint="eastAsia" w:ascii="宋体" w:hAnsi="宋体" w:eastAsia="宋体" w:cs="Arial"/>
          <w:color w:val="000000"/>
        </w:rPr>
        <w:t>（22）“预提费用”项目，反映民间非营利组织预先提取的已经发生但尚未实际支付的各项费用。本项目应当根据“预提费用”科目的期末贷方余额填列。</w:t>
      </w:r>
    </w:p>
    <w:p>
      <w:pPr>
        <w:pStyle w:val="5"/>
        <w:ind w:firstLine="420"/>
        <w:rPr>
          <w:rFonts w:ascii="宋体" w:hAnsi="宋体" w:eastAsia="宋体" w:cs="Arial"/>
          <w:color w:val="000000"/>
        </w:rPr>
      </w:pPr>
      <w:r>
        <w:rPr>
          <w:rFonts w:hint="eastAsia" w:ascii="宋体" w:hAnsi="宋体" w:eastAsia="宋体" w:cs="Arial"/>
          <w:color w:val="000000"/>
        </w:rPr>
        <w:t>（23）“预计负债”项目，反映民间非营利组织对因或有事项所产生的现时义务而确认的负债。本项目应当根据“预计负债”科目的期末贷方金额填列。</w:t>
      </w:r>
    </w:p>
    <w:p>
      <w:pPr>
        <w:pStyle w:val="5"/>
        <w:ind w:firstLine="420"/>
        <w:rPr>
          <w:rFonts w:ascii="宋体" w:hAnsi="宋体" w:eastAsia="宋体" w:cs="Arial"/>
          <w:color w:val="000000"/>
        </w:rPr>
      </w:pPr>
      <w:r>
        <w:rPr>
          <w:rFonts w:hint="eastAsia" w:ascii="宋体" w:hAnsi="宋体" w:eastAsia="宋体" w:cs="Arial"/>
          <w:color w:val="000000"/>
        </w:rPr>
        <w:t>（24）“一年内到期的长期负债”项目，反映民间非营利组织承担的将于1年内（含1年）偿还的长期负债。本项目应当根据有关长期负债科目的期末余额中将在1年内（含1年）到期的金额分析填列。</w:t>
      </w:r>
    </w:p>
    <w:p>
      <w:pPr>
        <w:pStyle w:val="5"/>
        <w:ind w:firstLine="420"/>
        <w:rPr>
          <w:rFonts w:ascii="宋体" w:hAnsi="宋体" w:eastAsia="宋体" w:cs="Arial"/>
          <w:color w:val="000000"/>
        </w:rPr>
      </w:pPr>
      <w:r>
        <w:rPr>
          <w:rFonts w:hint="eastAsia" w:ascii="宋体" w:hAnsi="宋体" w:eastAsia="宋体" w:cs="Arial"/>
          <w:color w:val="000000"/>
        </w:rPr>
        <w:t>（25）“其他流动负债”项目，反映民间非营利组织除以上流动负债之外的其他流动负债。本项目应当根据有关科目的期末余额填列。如果其他流动负债金额较大的，应当在会计报表附注中单独披露其内容和金额。</w:t>
      </w:r>
    </w:p>
    <w:p>
      <w:pPr>
        <w:pStyle w:val="5"/>
        <w:ind w:firstLine="420"/>
        <w:rPr>
          <w:rFonts w:ascii="宋体" w:hAnsi="宋体" w:eastAsia="宋体" w:cs="Arial"/>
          <w:color w:val="000000"/>
        </w:rPr>
      </w:pPr>
      <w:r>
        <w:rPr>
          <w:rFonts w:hint="eastAsia" w:ascii="宋体" w:hAnsi="宋体" w:eastAsia="宋体" w:cs="Arial"/>
          <w:color w:val="000000"/>
        </w:rPr>
        <w:t>（26）“长期借款”项目，反映民间非营利组织向银行或其他金融机构等借入的期限在1年以上（不含1年）的各种借款本息。本项目应当根据“长期借款”科目的期末余额减去其中将于1年内（含1年）到期的长期借款余额后的金额填列。</w:t>
      </w:r>
    </w:p>
    <w:p>
      <w:pPr>
        <w:pStyle w:val="5"/>
        <w:ind w:firstLine="420"/>
        <w:rPr>
          <w:rFonts w:ascii="宋体" w:hAnsi="宋体" w:eastAsia="宋体" w:cs="Arial"/>
          <w:color w:val="000000"/>
        </w:rPr>
      </w:pPr>
      <w:r>
        <w:rPr>
          <w:rFonts w:hint="eastAsia" w:ascii="宋体" w:hAnsi="宋体" w:eastAsia="宋体" w:cs="Arial"/>
          <w:color w:val="000000"/>
        </w:rPr>
        <w:t>（27）“长期应付款”项目，反映民间非营利组织承担的各种长期应付款，如融资租入固定资产发生的应付租赁款。本项目应当根据“长期应付款”科目的期末余额减去其中将于1年内（含1年）到期的长期应付款余额后的金额填列。</w:t>
      </w:r>
    </w:p>
    <w:p>
      <w:pPr>
        <w:pStyle w:val="5"/>
        <w:ind w:firstLine="420"/>
        <w:rPr>
          <w:rFonts w:ascii="宋体" w:hAnsi="宋体" w:eastAsia="宋体" w:cs="Arial"/>
          <w:color w:val="000000"/>
        </w:rPr>
      </w:pPr>
      <w:r>
        <w:rPr>
          <w:rFonts w:hint="eastAsia" w:ascii="宋体" w:hAnsi="宋体" w:eastAsia="宋体" w:cs="Arial"/>
          <w:color w:val="000000"/>
        </w:rPr>
        <w:t>（28）“其他长期负债”项目，反映民间非营利组织除以上长期负债项目之外的其他长期负债。本项目应当根据有关科目的期末余额减去其中将于1年内（含1年）到期的其他长期负债余额后的金额分析填列。如果其他长期负债金额较大的，应当在会计报表附注中单独披露其内容和金额。</w:t>
      </w:r>
    </w:p>
    <w:p>
      <w:pPr>
        <w:pStyle w:val="5"/>
        <w:ind w:firstLine="420"/>
        <w:rPr>
          <w:rFonts w:ascii="宋体" w:hAnsi="宋体" w:eastAsia="宋体" w:cs="Arial"/>
          <w:color w:val="000000"/>
        </w:rPr>
      </w:pPr>
      <w:r>
        <w:rPr>
          <w:rFonts w:hint="eastAsia" w:ascii="宋体" w:hAnsi="宋体" w:eastAsia="宋体" w:cs="Arial"/>
          <w:color w:val="000000"/>
        </w:rPr>
        <w:t>（29）“受托代理负债”项目，反映民间非营利组织因从事受托代理业务、接受受托代理资产而产生的负债。本项目应当根据“受托代理负债”科目的期末余额填列。</w:t>
      </w:r>
    </w:p>
    <w:p>
      <w:pPr>
        <w:pStyle w:val="5"/>
        <w:ind w:firstLine="420"/>
        <w:rPr>
          <w:rFonts w:ascii="宋体" w:hAnsi="宋体" w:eastAsia="宋体" w:cs="Arial"/>
          <w:color w:val="000000"/>
        </w:rPr>
      </w:pPr>
      <w:r>
        <w:rPr>
          <w:rFonts w:hint="eastAsia" w:ascii="宋体" w:hAnsi="宋体" w:eastAsia="宋体" w:cs="Arial"/>
          <w:color w:val="000000"/>
        </w:rPr>
        <w:t>（30）“非限定性净资产”项目，反映民间非营利组织拥有的非限定性净资产期末余额。本项目应当根据“非限定性净资产”科目的期末余额填列。</w:t>
      </w:r>
    </w:p>
    <w:p>
      <w:pPr>
        <w:pStyle w:val="5"/>
        <w:ind w:firstLine="420"/>
        <w:rPr>
          <w:rFonts w:ascii="宋体" w:hAnsi="宋体" w:eastAsia="宋体" w:cs="Arial"/>
          <w:color w:val="000000"/>
        </w:rPr>
      </w:pPr>
      <w:r>
        <w:rPr>
          <w:rFonts w:hint="eastAsia" w:ascii="宋体" w:hAnsi="宋体" w:eastAsia="宋体" w:cs="Arial"/>
          <w:color w:val="000000"/>
        </w:rPr>
        <w:t>（31）“限定性净资产”项目，反映民间非营利组织拥有的限定性净资产期末余额。本项目应当根据“限定性净资产”科目的期末余额填列。</w:t>
      </w:r>
    </w:p>
    <w:p>
      <w:pPr>
        <w:pStyle w:val="7"/>
        <w:rPr>
          <w:color w:val="000000"/>
          <w:szCs w:val="22"/>
        </w:rPr>
        <w:sectPr>
          <w:pgSz w:w="16838" w:h="11906" w:orient="landscape"/>
          <w:pgMar w:top="1797" w:right="1440" w:bottom="1797" w:left="1134"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143C8"/>
    <w:rsid w:val="5551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正文_0"/>
    <w:qFormat/>
    <w:uiPriority w:val="0"/>
    <w:rPr>
      <w:rFonts w:ascii="Times New Roman" w:hAnsi="Times New Roman" w:eastAsia="Times New Roman" w:cs="Times New Roman"/>
      <w:sz w:val="24"/>
      <w:szCs w:val="24"/>
      <w:lang w:val="en-US" w:eastAsia="zh-CN" w:bidi="ar-SA"/>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列出段落1"/>
    <w:basedOn w:val="5"/>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2019-10-30T09:02:00Z</dcterms:created>
  <dc:creator>陈莉佳</dc:creator>
  <cp:lastModifiedBy>陈莉佳</cp:lastModifiedBy>
  <dcterms:modified xsi:type="dcterms:W3CDTF">2019-10-30T09:02:35Z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