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44"/>
          <w:u w:val="none"/>
          <w:lang w:val="en-US" w:eastAsia="zh-CN"/>
        </w:rPr>
      </w:pPr>
      <w:r>
        <w:rPr>
          <w:rFonts w:hint="eastAsia"/>
          <w:sz w:val="44"/>
          <w:szCs w:val="44"/>
          <w:u w:val="none"/>
          <w:lang w:val="en-US" w:eastAsia="zh-CN"/>
        </w:rPr>
        <w:t>　　</w:t>
      </w:r>
      <w:r>
        <w:rPr>
          <w:rFonts w:hint="eastAsia"/>
          <w:b/>
          <w:bCs/>
          <w:sz w:val="44"/>
          <w:szCs w:val="44"/>
          <w:u w:val="none"/>
          <w:lang w:val="en-US" w:eastAsia="zh-CN"/>
        </w:rPr>
        <w:t>国家税务总局北京市平谷区税务局</w:t>
      </w:r>
    </w:p>
    <w:p>
      <w:pPr>
        <w:rPr>
          <w:rFonts w:hint="eastAsia"/>
          <w:b/>
          <w:bCs/>
          <w:sz w:val="44"/>
          <w:szCs w:val="44"/>
          <w:u w:val="none"/>
          <w:lang w:val="en-US" w:eastAsia="zh-CN"/>
        </w:rPr>
      </w:pPr>
      <w:r>
        <w:rPr>
          <w:rFonts w:hint="eastAsia"/>
          <w:b/>
          <w:bCs/>
          <w:sz w:val="44"/>
          <w:szCs w:val="44"/>
          <w:u w:val="none"/>
          <w:lang w:val="en-US" w:eastAsia="zh-CN"/>
        </w:rPr>
        <w:t>　　　　 责令限期改正通知书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r>
        <w:rPr>
          <w:rFonts w:hint="eastAsia"/>
          <w:sz w:val="28"/>
          <w:szCs w:val="28"/>
          <w:u w:val="none"/>
          <w:lang w:val="en-US" w:eastAsia="zh-CN"/>
        </w:rPr>
        <w:t>　　　　　　      平二税限改</w:t>
      </w:r>
      <w:r>
        <w:rPr>
          <w:rFonts w:hint="eastAsia" w:ascii="宋体" w:hAnsi="宋体"/>
          <w:color w:val="000000"/>
          <w:sz w:val="28"/>
          <w:szCs w:val="28"/>
        </w:rPr>
        <w:t>〔202</w:t>
      </w:r>
      <w:r>
        <w:rPr>
          <w:rFonts w:hint="eastAsia" w:ascii="宋体" w:hAnsi="宋体"/>
          <w:color w:val="000000"/>
          <w:sz w:val="28"/>
          <w:szCs w:val="28"/>
          <w:lang w:val="en-US" w:eastAsia="zh-CN"/>
        </w:rPr>
        <w:t>2</w:t>
      </w:r>
      <w:r>
        <w:rPr>
          <w:rFonts w:hint="eastAsia" w:ascii="宋体" w:hAnsi="宋体"/>
          <w:color w:val="000000"/>
          <w:sz w:val="28"/>
          <w:szCs w:val="28"/>
        </w:rPr>
        <w:t>〕</w:t>
      </w:r>
      <w:r>
        <w:rPr>
          <w:rFonts w:hint="eastAsia"/>
          <w:sz w:val="28"/>
          <w:szCs w:val="28"/>
          <w:u w:val="none"/>
          <w:lang w:val="en-US" w:eastAsia="zh-CN"/>
        </w:rPr>
        <w:t>5号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北京华野投资管理有限公司（纳税人识别号：　91110117802940360W）：</w:t>
      </w:r>
    </w:p>
    <w:p>
      <w:pPr>
        <w:ind w:firstLine="560" w:firstLineChars="200"/>
        <w:rPr>
          <w:rFonts w:hint="eastAsia"/>
          <w:sz w:val="28"/>
          <w:szCs w:val="28"/>
          <w:highlight w:val="none"/>
          <w:u w:val="none"/>
          <w:lang w:val="en-US" w:eastAsia="zh-CN"/>
        </w:rPr>
      </w:pPr>
      <w:r>
        <w:rPr>
          <w:rFonts w:hint="eastAsia"/>
          <w:sz w:val="28"/>
          <w:szCs w:val="28"/>
          <w:u w:val="none"/>
          <w:lang w:val="en-US" w:eastAsia="zh-CN"/>
        </w:rPr>
        <w:t>你（单位）未按期开展土地增值税清算申报。根据</w:t>
      </w:r>
      <w:r>
        <w:rPr>
          <w:rFonts w:hint="eastAsia"/>
          <w:sz w:val="28"/>
          <w:szCs w:val="28"/>
          <w:u w:val="none"/>
        </w:rPr>
        <w:t>《中华人民共和国</w:t>
      </w:r>
      <w:r>
        <w:rPr>
          <w:rFonts w:hint="eastAsia"/>
          <w:sz w:val="28"/>
          <w:szCs w:val="28"/>
          <w:u w:val="none"/>
          <w:lang w:eastAsia="zh-CN"/>
        </w:rPr>
        <w:t>税收征收管理法</w:t>
      </w:r>
      <w:r>
        <w:rPr>
          <w:rFonts w:hint="eastAsia"/>
          <w:sz w:val="28"/>
          <w:szCs w:val="28"/>
          <w:u w:val="none"/>
        </w:rPr>
        <w:t>》</w:t>
      </w:r>
      <w:r>
        <w:rPr>
          <w:rFonts w:hint="eastAsia"/>
          <w:sz w:val="28"/>
          <w:szCs w:val="28"/>
          <w:u w:val="none"/>
          <w:lang w:eastAsia="zh-CN"/>
        </w:rPr>
        <w:t>（中华人民共和国主席令第</w:t>
      </w:r>
      <w:r>
        <w:rPr>
          <w:rFonts w:hint="eastAsia"/>
          <w:sz w:val="28"/>
          <w:szCs w:val="28"/>
          <w:u w:val="none"/>
          <w:lang w:val="en-US" w:eastAsia="zh-CN"/>
        </w:rPr>
        <w:t>49号</w:t>
      </w:r>
      <w:r>
        <w:rPr>
          <w:rFonts w:hint="eastAsia"/>
          <w:sz w:val="28"/>
          <w:szCs w:val="28"/>
          <w:u w:val="none"/>
          <w:lang w:eastAsia="zh-CN"/>
        </w:rPr>
        <w:t>）第二十五条第一款、第六十二条；《国家税务总局关于房地产开发企业土地增值税清算管理有关问题的通知》（国税发【</w:t>
      </w:r>
      <w:r>
        <w:rPr>
          <w:rFonts w:hint="eastAsia"/>
          <w:sz w:val="28"/>
          <w:szCs w:val="28"/>
          <w:u w:val="none"/>
          <w:lang w:val="en-US" w:eastAsia="zh-CN"/>
        </w:rPr>
        <w:t>2006</w:t>
      </w:r>
      <w:r>
        <w:rPr>
          <w:rFonts w:hint="eastAsia"/>
          <w:sz w:val="28"/>
          <w:szCs w:val="28"/>
          <w:u w:val="none"/>
          <w:lang w:eastAsia="zh-CN"/>
        </w:rPr>
        <w:t>】</w:t>
      </w:r>
      <w:r>
        <w:rPr>
          <w:rFonts w:hint="eastAsia"/>
          <w:sz w:val="28"/>
          <w:szCs w:val="28"/>
          <w:u w:val="none"/>
          <w:lang w:val="en-US" w:eastAsia="zh-CN"/>
        </w:rPr>
        <w:t>187号</w:t>
      </w:r>
      <w:r>
        <w:rPr>
          <w:rFonts w:hint="eastAsia"/>
          <w:sz w:val="28"/>
          <w:szCs w:val="28"/>
          <w:u w:val="none"/>
          <w:lang w:eastAsia="zh-CN"/>
        </w:rPr>
        <w:t>）第五条；《国家税务总局关于印发</w:t>
      </w:r>
      <w:r>
        <w:rPr>
          <w:rFonts w:hint="eastAsia"/>
          <w:sz w:val="28"/>
          <w:szCs w:val="28"/>
          <w:u w:val="none"/>
          <w:lang w:val="en-US" w:eastAsia="zh-CN"/>
        </w:rPr>
        <w:t>&lt;土地增值税清算管理规程&gt;的通知</w:t>
      </w:r>
      <w:r>
        <w:rPr>
          <w:rFonts w:hint="eastAsia"/>
          <w:sz w:val="28"/>
          <w:szCs w:val="28"/>
          <w:u w:val="none"/>
          <w:lang w:eastAsia="zh-CN"/>
        </w:rPr>
        <w:t>》（国税发【</w:t>
      </w:r>
      <w:r>
        <w:rPr>
          <w:rFonts w:hint="eastAsia"/>
          <w:sz w:val="28"/>
          <w:szCs w:val="28"/>
          <w:u w:val="none"/>
          <w:lang w:val="en-US" w:eastAsia="zh-CN"/>
        </w:rPr>
        <w:t>2009】91号</w:t>
      </w:r>
      <w:r>
        <w:rPr>
          <w:rFonts w:hint="eastAsia"/>
          <w:sz w:val="28"/>
          <w:szCs w:val="28"/>
          <w:u w:val="none"/>
          <w:lang w:eastAsia="zh-CN"/>
        </w:rPr>
        <w:t>）第九条、第十条、第十一条；</w:t>
      </w:r>
      <w:r>
        <w:rPr>
          <w:rFonts w:hint="eastAsia"/>
          <w:sz w:val="28"/>
          <w:szCs w:val="28"/>
          <w:highlight w:val="none"/>
          <w:u w:val="none"/>
          <w:lang w:val="en-US" w:eastAsia="zh-CN"/>
        </w:rPr>
        <w:t>限你（单位）于收到本通知之日起十五日内办理恋日嘉园（草桥小区）小区的土地增值税清算申报。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highlight w:val="none"/>
          <w:u w:val="none"/>
          <w:lang w:val="en-US" w:eastAsia="zh-CN"/>
        </w:rPr>
      </w:pPr>
      <w:r>
        <w:rPr>
          <w:rFonts w:hint="eastAsia"/>
          <w:sz w:val="28"/>
          <w:szCs w:val="28"/>
          <w:highlight w:val="none"/>
          <w:u w:val="none"/>
          <w:lang w:val="en-US" w:eastAsia="zh-CN"/>
        </w:rPr>
        <w:t>　　如对本通知不服，可自收到本通知之日起，十五</w:t>
      </w:r>
      <w:bookmarkStart w:id="0" w:name="_GoBack"/>
      <w:bookmarkEnd w:id="0"/>
      <w:r>
        <w:rPr>
          <w:rFonts w:hint="eastAsia"/>
          <w:sz w:val="28"/>
          <w:szCs w:val="28"/>
          <w:highlight w:val="none"/>
          <w:u w:val="none"/>
          <w:lang w:val="en-US" w:eastAsia="zh-CN"/>
        </w:rPr>
        <w:t>日内依法向　　　　　国家税务总局北京市平谷区税务局申请行政复议；或者自收到本通知之日起，六个月内依法向人民法院起诉。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税务机关（盖章）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2022年07月06日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pStyle w:val="2"/>
        <w:spacing w:before="120" w:after="120" w:line="240" w:lineRule="auto"/>
        <w:jc w:val="center"/>
        <w:rPr>
          <w:spacing w:val="20"/>
          <w:szCs w:val="52"/>
        </w:rPr>
      </w:pPr>
      <w:r>
        <w:rPr>
          <w:rFonts w:hint="eastAsia"/>
          <w:spacing w:val="20"/>
          <w:sz w:val="52"/>
          <w:szCs w:val="52"/>
        </w:rPr>
        <w:t>税务文书送达回证</w:t>
      </w:r>
    </w:p>
    <w:tbl>
      <w:tblPr>
        <w:tblStyle w:val="4"/>
        <w:tblW w:w="0" w:type="auto"/>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94"/>
        <w:gridCol w:w="5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12"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送达文书名称</w:t>
            </w:r>
          </w:p>
        </w:tc>
        <w:tc>
          <w:tcPr>
            <w:tcW w:w="5040" w:type="dxa"/>
            <w:tcBorders>
              <w:top w:val="single" w:color="auto" w:sz="12" w:space="0"/>
              <w:left w:val="single" w:color="auto" w:sz="6" w:space="0"/>
              <w:bottom w:val="single" w:color="auto" w:sz="6" w:space="0"/>
              <w:right w:val="single" w:color="auto" w:sz="12" w:space="0"/>
            </w:tcBorders>
            <w:noWrap w:val="0"/>
            <w:vAlign w:val="center"/>
          </w:tcPr>
          <w:p>
            <w:pPr>
              <w:jc w:val="left"/>
              <w:rPr>
                <w:rFonts w:ascii="宋体" w:hAnsi="宋体"/>
                <w:b/>
                <w:bCs/>
                <w:sz w:val="24"/>
                <w:szCs w:val="32"/>
              </w:rPr>
            </w:pPr>
            <w:r>
              <w:rPr>
                <w:rFonts w:hint="eastAsia" w:ascii="仿宋" w:hAnsi="仿宋" w:eastAsia="仿宋" w:cs="仿宋"/>
                <w:b/>
                <w:bCs/>
                <w:color w:val="000000"/>
                <w:kern w:val="2"/>
                <w:sz w:val="28"/>
                <w:szCs w:val="28"/>
                <w:lang w:val="en-US" w:eastAsia="zh-CN" w:bidi="ar-SA"/>
              </w:rPr>
              <w:t>《责令限期改正通知书》平二税限改〔2022〕5号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ascii="仿宋_GB2312" w:eastAsia="仿宋_GB2312"/>
                <w:b/>
                <w:bCs/>
                <w:sz w:val="28"/>
                <w:szCs w:val="28"/>
              </w:rPr>
            </w:pPr>
            <w:r>
              <w:rPr>
                <w:rFonts w:hint="eastAsia" w:ascii="宋体" w:hAnsi="宋体" w:eastAsia="宋体" w:cs="Times New Roman"/>
                <w:b/>
                <w:kern w:val="2"/>
                <w:sz w:val="24"/>
                <w:szCs w:val="32"/>
                <w:lang w:val="en-US" w:eastAsia="zh-CN" w:bidi="ar-SA"/>
              </w:rPr>
              <w:t>北京华野投资管理有限公司（纳税人识别号：　91110117802940360W）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送达地点</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hint="eastAsia" w:ascii="仿宋_GB2312" w:eastAsia="仿宋_GB2312"/>
                <w:b/>
                <w:bCs/>
                <w:sz w:val="24"/>
                <w:szCs w:val="32"/>
                <w:lang w:eastAsia="zh-CN"/>
              </w:rPr>
            </w:pPr>
            <w:r>
              <w:rPr>
                <w:rFonts w:hint="eastAsia" w:ascii="仿宋" w:hAnsi="仿宋" w:eastAsia="仿宋" w:cs="仿宋"/>
                <w:b/>
                <w:bCs/>
                <w:color w:val="000000"/>
                <w:sz w:val="28"/>
                <w:szCs w:val="28"/>
                <w:lang w:eastAsia="zh-CN"/>
              </w:rPr>
              <w:t>北京市平谷区府前西街</w:t>
            </w:r>
            <w:r>
              <w:rPr>
                <w:rFonts w:hint="eastAsia" w:ascii="仿宋" w:hAnsi="仿宋" w:eastAsia="仿宋" w:cs="仿宋"/>
                <w:b/>
                <w:bCs/>
                <w:color w:val="000000"/>
                <w:sz w:val="28"/>
                <w:szCs w:val="28"/>
                <w:lang w:val="en-US" w:eastAsia="zh-CN"/>
              </w:rPr>
              <w:t>24号103房间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代收人</w:t>
            </w:r>
            <w:r>
              <w:rPr>
                <w:rFonts w:hint="eastAsia" w:ascii="仿宋_GB2312" w:eastAsia="仿宋_GB2312"/>
                <w:b/>
                <w:color w:val="000000"/>
                <w:sz w:val="32"/>
                <w:szCs w:val="32"/>
              </w:rPr>
              <w:t>代收理由、</w:t>
            </w:r>
            <w:r>
              <w:rPr>
                <w:rFonts w:hint="eastAsia" w:ascii="仿宋_GB2312" w:eastAsia="仿宋_GB2312"/>
                <w:b/>
                <w:sz w:val="32"/>
                <w:szCs w:val="32"/>
              </w:rPr>
              <w:t>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19685</wp:posOffset>
                      </wp:positionV>
                      <wp:extent cx="3176270" cy="2363470"/>
                      <wp:effectExtent l="2540" t="3810" r="21590" b="13970"/>
                      <wp:wrapNone/>
                      <wp:docPr id="2" name="直接连接符 2"/>
                      <wp:cNvGraphicFramePr/>
                      <a:graphic xmlns:a="http://schemas.openxmlformats.org/drawingml/2006/main">
                        <a:graphicData uri="http://schemas.microsoft.com/office/word/2010/wordprocessingShape">
                          <wps:wsp>
                            <wps:cNvCnPr/>
                            <wps:spPr>
                              <a:xfrm>
                                <a:off x="0" y="0"/>
                                <a:ext cx="3086100" cy="23774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1.55pt;height:186.1pt;width:250.1pt;z-index:251659264;mso-width-relative:page;mso-height-relative:page;" filled="f" stroked="t" coordsize="21600,21600" o:gfxdata="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Tvh42AAAAAkBAAAPAAAAAAAAAAEAIAAAACIAAABkcnMvZG93&#10;bnJldi54bWxQSwECFAAUAAAACACHTuJAkRXIfwACAAD4AwAADgAAAAAAAAABACAAAAAnAQAAZHJz&#10;L2Uyb0RvYy54bWxQSwUGAAAAAAYABgBZAQAAmQUAAAAA&#10;">
                      <v:fill on="f" focussize="0,0"/>
                      <v:stroke color="#000000" joinstyle="round"/>
                      <v:imagedata o:title=""/>
                      <o:lock v:ext="edit" aspectratio="f"/>
                    </v:line>
                  </w:pict>
                </mc:Fallback>
              </mc:AlternateContent>
            </w:r>
          </w:p>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受送达人拒收理由</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见证人签名或盖章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12"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填发税务机关</w:t>
            </w:r>
          </w:p>
        </w:tc>
        <w:tc>
          <w:tcPr>
            <w:tcW w:w="5040" w:type="dxa"/>
            <w:tcBorders>
              <w:top w:val="single" w:color="auto" w:sz="6" w:space="0"/>
              <w:left w:val="single" w:color="auto" w:sz="6" w:space="0"/>
              <w:bottom w:val="single" w:color="auto" w:sz="12" w:space="0"/>
              <w:right w:val="single" w:color="auto" w:sz="12" w:space="0"/>
            </w:tcBorders>
            <w:noWrap w:val="0"/>
            <w:vAlign w:val="bottom"/>
          </w:tcPr>
          <w:p>
            <w:pPr>
              <w:pStyle w:val="3"/>
              <w:spacing w:line="360" w:lineRule="auto"/>
              <w:ind w:right="263" w:firstLine="0" w:firstLineChars="0"/>
              <w:rPr>
                <w:rFonts w:ascii="仿宋_GB2312" w:eastAsia="仿宋_GB2312"/>
                <w:b/>
                <w:sz w:val="32"/>
                <w:szCs w:val="32"/>
              </w:rPr>
            </w:pPr>
            <w:r>
              <w:rPr>
                <w:rFonts w:hint="eastAsia" w:ascii="仿宋_GB2312" w:eastAsia="仿宋_GB2312"/>
                <w:b/>
                <w:sz w:val="28"/>
                <w:szCs w:val="32"/>
              </w:rPr>
              <w:t>（签章）</w:t>
            </w:r>
            <w:r>
              <w:rPr>
                <w:rFonts w:hint="eastAsia" w:ascii="仿宋_GB2312" w:eastAsia="仿宋_GB2312"/>
                <w:b/>
                <w:sz w:val="32"/>
                <w:szCs w:val="32"/>
              </w:rPr>
              <w:t xml:space="preserve">   年  月  日  时  分</w:t>
            </w:r>
          </w:p>
        </w:tc>
      </w:tr>
    </w:tbl>
    <w:p>
      <w:pPr>
        <w:spacing w:line="560" w:lineRule="exact"/>
        <w:rPr>
          <w:rFonts w:hint="eastAsia" w:ascii="黑体" w:hAnsi="仿宋" w:eastAsia="黑体"/>
          <w:color w:val="000000"/>
          <w:sz w:val="32"/>
          <w:szCs w:val="32"/>
        </w:rPr>
      </w:pPr>
    </w:p>
    <w:p>
      <w:pPr>
        <w:spacing w:line="560" w:lineRule="exact"/>
        <w:rPr>
          <w:rFonts w:hint="eastAsia" w:ascii="黑体" w:hAnsi="仿宋"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E1807"/>
    <w:rsid w:val="03B71B13"/>
    <w:rsid w:val="05E94FA7"/>
    <w:rsid w:val="06297D0E"/>
    <w:rsid w:val="0861097A"/>
    <w:rsid w:val="09A74BA6"/>
    <w:rsid w:val="09BA56DA"/>
    <w:rsid w:val="0A5A5523"/>
    <w:rsid w:val="0AD94306"/>
    <w:rsid w:val="0E487F7F"/>
    <w:rsid w:val="0E9B0B91"/>
    <w:rsid w:val="0F3E09C5"/>
    <w:rsid w:val="136B40E0"/>
    <w:rsid w:val="13D062BF"/>
    <w:rsid w:val="164D4682"/>
    <w:rsid w:val="18717BEA"/>
    <w:rsid w:val="19F33A72"/>
    <w:rsid w:val="1B3F4A7D"/>
    <w:rsid w:val="1BD87284"/>
    <w:rsid w:val="1FCB23FC"/>
    <w:rsid w:val="20C12A77"/>
    <w:rsid w:val="21F918F0"/>
    <w:rsid w:val="2352656B"/>
    <w:rsid w:val="247B6D19"/>
    <w:rsid w:val="25DE2D19"/>
    <w:rsid w:val="26455E4F"/>
    <w:rsid w:val="26603F95"/>
    <w:rsid w:val="2B2C7693"/>
    <w:rsid w:val="2BE310CC"/>
    <w:rsid w:val="2DA72BD7"/>
    <w:rsid w:val="2E022C9E"/>
    <w:rsid w:val="2E2576DA"/>
    <w:rsid w:val="2F4D49DE"/>
    <w:rsid w:val="2FF85AAD"/>
    <w:rsid w:val="35BC51E0"/>
    <w:rsid w:val="35EB3C95"/>
    <w:rsid w:val="3771441B"/>
    <w:rsid w:val="37C25DAA"/>
    <w:rsid w:val="38AF28E4"/>
    <w:rsid w:val="390A76B0"/>
    <w:rsid w:val="39A8286D"/>
    <w:rsid w:val="3BEC76F5"/>
    <w:rsid w:val="3D6060A5"/>
    <w:rsid w:val="3DEF53C1"/>
    <w:rsid w:val="3F301ABB"/>
    <w:rsid w:val="40564FBF"/>
    <w:rsid w:val="4612356E"/>
    <w:rsid w:val="468F34F0"/>
    <w:rsid w:val="48034FB3"/>
    <w:rsid w:val="48611825"/>
    <w:rsid w:val="4A0246C4"/>
    <w:rsid w:val="4A3F793E"/>
    <w:rsid w:val="4C7D3EF6"/>
    <w:rsid w:val="4D2B33A7"/>
    <w:rsid w:val="503830FF"/>
    <w:rsid w:val="54DC5D8C"/>
    <w:rsid w:val="54FB3F0E"/>
    <w:rsid w:val="54FD35D7"/>
    <w:rsid w:val="5527127A"/>
    <w:rsid w:val="55A56F38"/>
    <w:rsid w:val="59423C5A"/>
    <w:rsid w:val="59A64000"/>
    <w:rsid w:val="59CD6F79"/>
    <w:rsid w:val="5A0E16AF"/>
    <w:rsid w:val="5A915D10"/>
    <w:rsid w:val="5BCE3789"/>
    <w:rsid w:val="5F5E4390"/>
    <w:rsid w:val="5FE34994"/>
    <w:rsid w:val="6090729E"/>
    <w:rsid w:val="60E01458"/>
    <w:rsid w:val="64CF35A2"/>
    <w:rsid w:val="654A0DA1"/>
    <w:rsid w:val="665662B1"/>
    <w:rsid w:val="72F17C95"/>
    <w:rsid w:val="73593A46"/>
    <w:rsid w:val="750C75C3"/>
    <w:rsid w:val="757856F9"/>
    <w:rsid w:val="768912BA"/>
    <w:rsid w:val="773A10D7"/>
    <w:rsid w:val="799E0DF5"/>
    <w:rsid w:val="7BB131FF"/>
    <w:rsid w:val="7C5F7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Helvetica" w:hAnsi="Helvetica"/>
      <w:b/>
      <w:bCs/>
      <w:kern w:val="44"/>
      <w:sz w:val="32"/>
      <w:szCs w:val="44"/>
      <w:lang w:val="en-G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character" w:styleId="6">
    <w:name w:val="Strong"/>
    <w:basedOn w:val="5"/>
    <w:qFormat/>
    <w:uiPriority w:val="0"/>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u w:val="singl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tree-text"/>
    <w:basedOn w:val="5"/>
    <w:qFormat/>
    <w:uiPriority w:val="0"/>
  </w:style>
  <w:style w:type="character" w:customStyle="1" w:styleId="15">
    <w:name w:val="red2"/>
    <w:basedOn w:val="5"/>
    <w:qFormat/>
    <w:uiPriority w:val="0"/>
    <w:rPr>
      <w:rFonts w:hint="eastAsia" w:ascii="宋体" w:hAnsi="宋体" w:eastAsia="宋体" w:cs="宋体"/>
      <w:b/>
      <w:color w:val="FF0000"/>
    </w:rPr>
  </w:style>
  <w:style w:type="character" w:customStyle="1" w:styleId="16">
    <w:name w:val="hover10"/>
    <w:basedOn w:val="5"/>
    <w:qFormat/>
    <w:uiPriority w:val="0"/>
  </w:style>
  <w:style w:type="character" w:customStyle="1" w:styleId="17">
    <w:name w:val="hover1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pgds</dc:creator>
  <cp:lastModifiedBy>曲晋秀</cp:lastModifiedBy>
  <cp:lastPrinted>2022-07-06T05:56:00Z</cp:lastPrinted>
  <dcterms:modified xsi:type="dcterms:W3CDTF">2022-08-03T06:18:16Z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