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widowControl w:val="0"/>
        <w:topLinePunct/>
        <w:autoSpaceDE w:val="0"/>
        <w:autoSpaceDN w:val="0"/>
        <w:spacing w:before="0" w:after="0" w:line="360" w:lineRule="auto"/>
        <w:jc w:val="center"/>
        <w:rPr>
          <w:rFonts w:hint="eastAsia" w:ascii="宋体" w:hAnsi="宋体" w:eastAsia="宋体" w:cs="宋体"/>
          <w:b/>
          <w:sz w:val="44"/>
          <w:szCs w:val="44"/>
          <w:highlight w:val="none"/>
          <w:lang w:eastAsia="zh-CN"/>
        </w:rPr>
      </w:pPr>
    </w:p>
    <w:p>
      <w:pPr>
        <w:widowControl w:val="0"/>
        <w:topLinePunct/>
        <w:autoSpaceDE w:val="0"/>
        <w:autoSpaceDN w:val="0"/>
        <w:spacing w:before="0" w:after="0" w:line="360" w:lineRule="auto"/>
        <w:jc w:val="center"/>
        <w:rPr>
          <w:rFonts w:hint="eastAsia" w:ascii="宋体" w:hAnsi="宋体" w:eastAsia="宋体" w:cs="宋体"/>
          <w:b/>
          <w:sz w:val="96"/>
          <w:szCs w:val="96"/>
          <w:highlight w:val="none"/>
          <w:lang w:eastAsia="zh-CN"/>
        </w:rPr>
      </w:pPr>
      <w:r>
        <w:rPr>
          <w:rFonts w:hint="eastAsia" w:ascii="宋体" w:hAnsi="宋体" w:eastAsia="宋体" w:cs="宋体"/>
          <w:b/>
          <w:sz w:val="96"/>
          <w:szCs w:val="96"/>
          <w:highlight w:val="none"/>
          <w:lang w:eastAsia="zh-CN"/>
        </w:rPr>
        <w:t>采 购 需 求</w:t>
      </w:r>
    </w:p>
    <w:p>
      <w:pPr>
        <w:widowControl w:val="0"/>
        <w:topLinePunct/>
        <w:autoSpaceDE w:val="0"/>
        <w:autoSpaceDN w:val="0"/>
        <w:spacing w:before="0" w:after="0" w:line="360" w:lineRule="auto"/>
        <w:jc w:val="center"/>
        <w:rPr>
          <w:rFonts w:hint="eastAsia" w:ascii="宋体" w:hAnsi="宋体" w:eastAsia="宋体" w:cs="宋体"/>
          <w:b/>
          <w:sz w:val="80"/>
          <w:szCs w:val="80"/>
          <w:highlight w:val="none"/>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highlight w:val="none"/>
          <w:lang w:eastAsia="zh-CN"/>
        </w:rPr>
      </w:pPr>
      <w:bookmarkStart w:id="9" w:name="_GoBack"/>
      <w:bookmarkEnd w:id="9"/>
    </w:p>
    <w:p>
      <w:pPr>
        <w:widowControl w:val="0"/>
        <w:topLinePunct/>
        <w:autoSpaceDE w:val="0"/>
        <w:autoSpaceDN w:val="0"/>
        <w:spacing w:before="0" w:after="0" w:line="360" w:lineRule="auto"/>
        <w:jc w:val="center"/>
        <w:rPr>
          <w:rFonts w:hint="eastAsia" w:ascii="宋体" w:hAnsi="宋体" w:eastAsia="宋体" w:cs="宋体"/>
          <w:b/>
          <w:sz w:val="80"/>
          <w:szCs w:val="80"/>
          <w:highlight w:val="none"/>
          <w:lang w:eastAsia="zh-CN"/>
        </w:rPr>
      </w:pPr>
    </w:p>
    <w:p>
      <w:pPr>
        <w:widowControl w:val="0"/>
        <w:topLinePunct/>
        <w:autoSpaceDE w:val="0"/>
        <w:autoSpaceDN w:val="0"/>
        <w:spacing w:before="0" w:after="0" w:line="360" w:lineRule="auto"/>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lang w:eastAsia="zh-CN"/>
        </w:rPr>
        <w:t>项目名称：国家税务总局北京市税务局第一稽查局</w:t>
      </w:r>
    </w:p>
    <w:p>
      <w:pPr>
        <w:widowControl w:val="0"/>
        <w:topLinePunct/>
        <w:autoSpaceDE w:val="0"/>
        <w:autoSpaceDN w:val="0"/>
        <w:spacing w:before="0" w:after="0" w:line="360" w:lineRule="auto"/>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lang w:eastAsia="zh-CN"/>
        </w:rPr>
        <w:t>202</w:t>
      </w:r>
      <w:r>
        <w:rPr>
          <w:rFonts w:hint="eastAsia" w:ascii="宋体" w:hAnsi="宋体" w:cs="宋体"/>
          <w:b/>
          <w:sz w:val="30"/>
          <w:szCs w:val="30"/>
          <w:highlight w:val="none"/>
          <w:lang w:val="en-US" w:eastAsia="zh-CN"/>
        </w:rPr>
        <w:t>6</w:t>
      </w:r>
      <w:r>
        <w:rPr>
          <w:rFonts w:hint="eastAsia" w:ascii="宋体" w:hAnsi="宋体" w:eastAsia="宋体" w:cs="宋体"/>
          <w:b/>
          <w:sz w:val="30"/>
          <w:szCs w:val="30"/>
          <w:highlight w:val="none"/>
          <w:lang w:eastAsia="zh-CN"/>
        </w:rPr>
        <w:t>-202</w:t>
      </w:r>
      <w:r>
        <w:rPr>
          <w:rFonts w:hint="eastAsia" w:ascii="宋体" w:hAnsi="宋体" w:cs="宋体"/>
          <w:b/>
          <w:sz w:val="30"/>
          <w:szCs w:val="30"/>
          <w:highlight w:val="none"/>
          <w:lang w:val="en-US" w:eastAsia="zh-CN"/>
        </w:rPr>
        <w:t>7</w:t>
      </w:r>
      <w:r>
        <w:rPr>
          <w:rFonts w:hint="eastAsia" w:ascii="宋体" w:hAnsi="宋体" w:eastAsia="宋体" w:cs="宋体"/>
          <w:b/>
          <w:sz w:val="30"/>
          <w:szCs w:val="30"/>
          <w:highlight w:val="none"/>
          <w:lang w:eastAsia="zh-CN"/>
        </w:rPr>
        <w:t>年职工食堂食材</w:t>
      </w:r>
      <w:r>
        <w:rPr>
          <w:rFonts w:hint="eastAsia" w:ascii="宋体" w:hAnsi="宋体" w:cs="宋体"/>
          <w:b/>
          <w:sz w:val="30"/>
          <w:szCs w:val="30"/>
          <w:highlight w:val="none"/>
          <w:lang w:eastAsia="zh-CN"/>
        </w:rPr>
        <w:t>采购</w:t>
      </w:r>
      <w:r>
        <w:rPr>
          <w:rFonts w:hint="eastAsia" w:ascii="宋体" w:hAnsi="宋体" w:eastAsia="宋体" w:cs="宋体"/>
          <w:b/>
          <w:sz w:val="30"/>
          <w:szCs w:val="30"/>
          <w:highlight w:val="none"/>
          <w:lang w:eastAsia="zh-CN"/>
        </w:rPr>
        <w:t>项目</w:t>
      </w:r>
    </w:p>
    <w:p>
      <w:pPr>
        <w:widowControl w:val="0"/>
        <w:topLinePunct/>
        <w:autoSpaceDE w:val="0"/>
        <w:autoSpaceDN w:val="0"/>
        <w:spacing w:before="0" w:after="0" w:line="360" w:lineRule="auto"/>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lang w:eastAsia="zh-CN"/>
        </w:rPr>
        <w:t>（鲜冻禽畜肉类包）</w:t>
      </w:r>
    </w:p>
    <w:p>
      <w:pPr>
        <w:widowControl w:val="0"/>
        <w:spacing w:before="0" w:after="0" w:line="360" w:lineRule="auto"/>
        <w:jc w:val="both"/>
        <w:rPr>
          <w:rFonts w:hint="eastAsia" w:ascii="宋体" w:hAnsi="宋体" w:eastAsia="宋体" w:cs="宋体"/>
          <w:kern w:val="2"/>
          <w:sz w:val="32"/>
          <w:szCs w:val="32"/>
          <w:highlight w:val="none"/>
          <w:lang w:eastAsia="zh-CN"/>
        </w:rPr>
      </w:pPr>
    </w:p>
    <w:p>
      <w:pPr>
        <w:widowControl w:val="0"/>
        <w:spacing w:before="0" w:after="0" w:line="360" w:lineRule="auto"/>
        <w:jc w:val="both"/>
        <w:rPr>
          <w:rFonts w:ascii="宋体" w:hAnsi="宋体" w:eastAsia="宋体" w:cs="宋体"/>
          <w:kern w:val="2"/>
          <w:sz w:val="32"/>
          <w:szCs w:val="32"/>
          <w:highlight w:val="none"/>
          <w:lang w:eastAsia="zh-CN"/>
        </w:rPr>
      </w:pPr>
    </w:p>
    <w:p>
      <w:pPr>
        <w:widowControl w:val="0"/>
        <w:spacing w:before="0" w:after="0" w:line="360" w:lineRule="auto"/>
        <w:jc w:val="both"/>
        <w:rPr>
          <w:rFonts w:hint="eastAsia" w:ascii="宋体" w:hAnsi="宋体" w:eastAsia="宋体" w:cs="宋体"/>
          <w:kern w:val="2"/>
          <w:sz w:val="32"/>
          <w:szCs w:val="32"/>
          <w:highlight w:val="none"/>
          <w:lang w:eastAsia="zh-CN"/>
        </w:rPr>
      </w:pPr>
    </w:p>
    <w:p>
      <w:pPr>
        <w:widowControl w:val="0"/>
        <w:topLinePunct/>
        <w:autoSpaceDE w:val="0"/>
        <w:autoSpaceDN w:val="0"/>
        <w:spacing w:before="0" w:after="0" w:line="360" w:lineRule="auto"/>
        <w:jc w:val="both"/>
        <w:rPr>
          <w:rFonts w:hint="eastAsia" w:ascii="宋体" w:hAnsi="宋体" w:eastAsia="宋体" w:cs="宋体"/>
          <w:sz w:val="32"/>
          <w:szCs w:val="32"/>
          <w:highlight w:val="none"/>
          <w:lang w:eastAsia="zh-CN"/>
        </w:rPr>
      </w:pPr>
    </w:p>
    <w:p>
      <w:pPr>
        <w:spacing w:before="0" w:after="0" w:line="360" w:lineRule="auto"/>
        <w:jc w:val="center"/>
        <w:rPr>
          <w:rFonts w:eastAsia="宋体"/>
          <w:highlight w:val="none"/>
        </w:rPr>
      </w:pPr>
      <w:bookmarkStart w:id="0" w:name="生成日期_currentDateTime_ym"/>
      <w:r>
        <w:rPr>
          <w:rFonts w:hint="eastAsia" w:ascii="宋体" w:hAnsi="宋体" w:eastAsia="宋体" w:cs="宋体"/>
          <w:sz w:val="36"/>
          <w:szCs w:val="36"/>
          <w:highlight w:val="none"/>
          <w:lang w:eastAsia="zh-CN"/>
        </w:rPr>
        <w:t>202</w:t>
      </w:r>
      <w:r>
        <w:rPr>
          <w:rFonts w:hint="eastAsia" w:ascii="宋体" w:hAnsi="宋体" w:cs="宋体"/>
          <w:sz w:val="36"/>
          <w:szCs w:val="36"/>
          <w:highlight w:val="none"/>
          <w:lang w:val="en-US" w:eastAsia="zh-CN"/>
        </w:rPr>
        <w:t>6</w:t>
      </w:r>
      <w:r>
        <w:rPr>
          <w:rFonts w:hint="eastAsia" w:ascii="宋体" w:hAnsi="宋体" w:eastAsia="宋体" w:cs="宋体"/>
          <w:sz w:val="36"/>
          <w:szCs w:val="36"/>
          <w:highlight w:val="none"/>
          <w:lang w:eastAsia="zh-CN"/>
        </w:rPr>
        <w:t>年0</w:t>
      </w:r>
      <w:r>
        <w:rPr>
          <w:rFonts w:hint="eastAsia" w:ascii="宋体" w:hAnsi="宋体" w:cs="宋体"/>
          <w:sz w:val="36"/>
          <w:szCs w:val="36"/>
          <w:highlight w:val="none"/>
          <w:lang w:val="en-US" w:eastAsia="zh-CN"/>
        </w:rPr>
        <w:t>8</w:t>
      </w:r>
      <w:r>
        <w:rPr>
          <w:rFonts w:hint="eastAsia" w:ascii="宋体" w:hAnsi="宋体" w:eastAsia="宋体" w:cs="宋体"/>
          <w:sz w:val="36"/>
          <w:szCs w:val="36"/>
          <w:highlight w:val="none"/>
          <w:lang w:eastAsia="zh-CN"/>
        </w:rPr>
        <w:t>月</w:t>
      </w:r>
      <w:bookmarkEnd w:id="0"/>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both"/>
        <w:rPr>
          <w:rFonts w:ascii="方正小标宋简体" w:eastAsia="方正小标宋简体"/>
          <w:snapToGrid w:val="0"/>
          <w:sz w:val="32"/>
          <w:szCs w:val="32"/>
          <w:highlight w:val="none"/>
        </w:rPr>
      </w:pPr>
    </w:p>
    <w:p>
      <w:pPr>
        <w:pStyle w:val="28"/>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1项目概述</w:t>
      </w:r>
    </w:p>
    <w:p>
      <w:pPr>
        <w:pStyle w:val="29"/>
        <w:keepNext w:val="0"/>
        <w:spacing w:before="0" w:after="0" w:line="360" w:lineRule="auto"/>
        <w:rPr>
          <w:rFonts w:ascii="仿宋_GB2312" w:hAnsi="仿宋_GB2312" w:eastAsia="仿宋_GB2312" w:cs="仿宋_GB2312"/>
          <w:i w:val="0"/>
          <w:iCs w:val="0"/>
          <w:highlight w:val="none"/>
        </w:rPr>
      </w:pPr>
      <w:r>
        <w:rPr>
          <w:rFonts w:ascii="仿宋_GB2312" w:hAnsi="仿宋_GB2312" w:eastAsia="仿宋_GB2312" w:cs="仿宋_GB2312"/>
          <w:i w:val="0"/>
          <w:iCs w:val="0"/>
          <w:highlight w:val="none"/>
        </w:rPr>
        <w:t>1.1项目背景</w:t>
      </w:r>
    </w:p>
    <w:p>
      <w:pPr>
        <w:pStyle w:val="30"/>
        <w:keepNext w:val="0"/>
        <w:spacing w:before="0" w:after="0" w:line="360" w:lineRule="auto"/>
        <w:rPr>
          <w:rFonts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1.1.1项目目的、意义及背景</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pacing w:val="0"/>
          <w:sz w:val="32"/>
          <w:szCs w:val="32"/>
          <w:highlight w:val="none"/>
        </w:rPr>
      </w:pPr>
      <w:r>
        <w:rPr>
          <w:rFonts w:ascii="仿宋_GB2312" w:hAnsi="仿宋_GB2312" w:eastAsia="仿宋_GB2312" w:cs="仿宋_GB2312"/>
          <w:sz w:val="32"/>
          <w:szCs w:val="32"/>
          <w:highlight w:val="none"/>
        </w:rPr>
        <w:t>为落实政府采购有关规定，进一步做好20</w:t>
      </w:r>
      <w:r>
        <w:rPr>
          <w:rFonts w:hint="eastAsia" w:ascii="仿宋_GB2312" w:hAnsi="仿宋_GB2312" w:eastAsia="仿宋_GB2312" w:cs="仿宋_GB2312"/>
          <w:sz w:val="32"/>
          <w:szCs w:val="32"/>
          <w:highlight w:val="none"/>
          <w:lang w:val="en-US" w:eastAsia="zh-CN"/>
        </w:rPr>
        <w:t>26-2027</w:t>
      </w:r>
      <w:r>
        <w:rPr>
          <w:rFonts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度</w:t>
      </w:r>
      <w:r>
        <w:rPr>
          <w:rFonts w:ascii="仿宋_GB2312" w:hAnsi="仿宋_GB2312" w:eastAsia="仿宋_GB2312" w:cs="仿宋_GB2312"/>
          <w:sz w:val="32"/>
          <w:szCs w:val="32"/>
          <w:highlight w:val="none"/>
        </w:rPr>
        <w:t>食堂食材采购工作，</w:t>
      </w:r>
      <w:r>
        <w:rPr>
          <w:rFonts w:ascii="仿宋_GB2312" w:hAnsi="仿宋_GB2312" w:eastAsia="仿宋_GB2312" w:cs="仿宋_GB2312"/>
          <w:spacing w:val="0"/>
          <w:sz w:val="32"/>
          <w:szCs w:val="32"/>
          <w:highlight w:val="none"/>
        </w:rPr>
        <w:t>需通过公开招标方式采购</w:t>
      </w:r>
      <w:r>
        <w:rPr>
          <w:rFonts w:hint="eastAsia" w:ascii="仿宋_GB2312" w:hAnsi="仿宋_GB2312" w:eastAsia="仿宋_GB2312" w:cs="仿宋_GB2312"/>
          <w:spacing w:val="0"/>
          <w:sz w:val="32"/>
          <w:szCs w:val="32"/>
          <w:highlight w:val="none"/>
          <w:lang w:eastAsia="zh-CN"/>
        </w:rPr>
        <w:t>国家税务总局北京市税务局</w:t>
      </w:r>
      <w:r>
        <w:rPr>
          <w:rFonts w:hint="eastAsia" w:ascii="仿宋_GB2312" w:hAnsi="仿宋_GB2312" w:eastAsia="仿宋_GB2312" w:cs="仿宋_GB2312"/>
          <w:spacing w:val="0"/>
          <w:sz w:val="32"/>
          <w:szCs w:val="32"/>
          <w:highlight w:val="none"/>
          <w:u w:val="none"/>
          <w:lang w:val="en-US" w:eastAsia="zh-CN"/>
        </w:rPr>
        <w:t>第一稽查</w:t>
      </w:r>
      <w:r>
        <w:rPr>
          <w:rFonts w:hint="eastAsia" w:ascii="仿宋_GB2312" w:hAnsi="仿宋_GB2312" w:eastAsia="仿宋_GB2312" w:cs="仿宋_GB2312"/>
          <w:spacing w:val="0"/>
          <w:sz w:val="32"/>
          <w:szCs w:val="32"/>
          <w:highlight w:val="none"/>
          <w:lang w:eastAsia="zh-CN"/>
        </w:rPr>
        <w:t>局</w:t>
      </w:r>
      <w:r>
        <w:rPr>
          <w:rFonts w:ascii="仿宋_GB2312" w:hAnsi="仿宋_GB2312" w:eastAsia="仿宋_GB2312" w:cs="仿宋_GB2312"/>
          <w:spacing w:val="0"/>
          <w:sz w:val="32"/>
          <w:szCs w:val="32"/>
          <w:highlight w:val="none"/>
        </w:rPr>
        <w:t>食堂所用食材。</w:t>
      </w:r>
    </w:p>
    <w:p>
      <w:pPr>
        <w:pStyle w:val="29"/>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1.2项目内容</w:t>
      </w:r>
    </w:p>
    <w:p>
      <w:pPr>
        <w:pStyle w:val="30"/>
        <w:keepNext w:val="0"/>
        <w:spacing w:before="0" w:after="0" w:line="360" w:lineRule="auto"/>
        <w:rPr>
          <w:highlight w:val="none"/>
        </w:rPr>
      </w:pPr>
      <w:r>
        <w:rPr>
          <w:rFonts w:ascii="仿宋_GB2312" w:hAnsi="仿宋_GB2312" w:eastAsia="仿宋_GB2312" w:cs="仿宋_GB2312"/>
          <w:sz w:val="28"/>
          <w:szCs w:val="28"/>
          <w:highlight w:val="none"/>
        </w:rPr>
        <w:t>1.2.1项目建设思路</w:t>
      </w:r>
    </w:p>
    <w:p>
      <w:pPr>
        <w:widowControl/>
        <w:kinsoku w:val="0"/>
        <w:autoSpaceDE w:val="0"/>
        <w:autoSpaceDN w:val="0"/>
        <w:adjustRightInd w:val="0"/>
        <w:snapToGrid w:val="0"/>
        <w:spacing w:after="0" w:line="560" w:lineRule="exact"/>
        <w:ind w:firstLine="640" w:firstLineChars="200"/>
        <w:textAlignment w:val="baseline"/>
        <w:rPr>
          <w:rFonts w:ascii="仿宋_GB2312" w:hAnsi="仿宋_GB2312" w:eastAsia="仿宋_GB2312" w:cs="仿宋_GB2312"/>
          <w:sz w:val="32"/>
          <w:szCs w:val="32"/>
          <w:highlight w:val="none"/>
        </w:rPr>
      </w:pPr>
      <w:r>
        <w:rPr>
          <w:rFonts w:hint="eastAsia" w:ascii="仿宋_GB2312" w:hAnsi="Times New Roman" w:eastAsia="仿宋_GB2312" w:cs="Times New Roman"/>
          <w:snapToGrid w:val="0"/>
          <w:color w:val="000000"/>
          <w:kern w:val="0"/>
          <w:sz w:val="32"/>
          <w:szCs w:val="32"/>
          <w:highlight w:val="none"/>
          <w:lang w:eastAsia="zh-CN"/>
        </w:rPr>
        <w:t>本</w:t>
      </w:r>
      <w:r>
        <w:rPr>
          <w:rFonts w:hint="eastAsia" w:ascii="仿宋_GB2312" w:hAnsi="宋体" w:eastAsia="仿宋_GB2312" w:cs="宋体"/>
          <w:snapToGrid w:val="0"/>
          <w:color w:val="000000"/>
          <w:kern w:val="0"/>
          <w:sz w:val="32"/>
          <w:szCs w:val="32"/>
          <w:highlight w:val="none"/>
        </w:rPr>
        <w:t>项目预算</w:t>
      </w:r>
      <w:r>
        <w:rPr>
          <w:rFonts w:hint="eastAsia" w:ascii="仿宋_GB2312" w:hAnsi="仿宋_GB2312" w:eastAsia="仿宋_GB2312" w:cs="仿宋_GB2312"/>
          <w:b w:val="0"/>
          <w:bCs w:val="0"/>
          <w:sz w:val="32"/>
          <w:szCs w:val="32"/>
          <w:highlight w:val="none"/>
          <w:u w:val="none"/>
          <w:lang w:val="en-US" w:eastAsia="zh-CN"/>
        </w:rPr>
        <w:t>264.26</w:t>
      </w:r>
      <w:r>
        <w:rPr>
          <w:rFonts w:hint="eastAsia" w:ascii="仿宋_GB2312" w:hAnsi="宋体" w:eastAsia="仿宋_GB2312" w:cs="宋体"/>
          <w:snapToGrid w:val="0"/>
          <w:color w:val="000000"/>
          <w:kern w:val="0"/>
          <w:sz w:val="32"/>
          <w:szCs w:val="32"/>
          <w:highlight w:val="none"/>
        </w:rPr>
        <w:t>万元，</w:t>
      </w:r>
      <w:bookmarkStart w:id="1" w:name="_Hlk202453753"/>
      <w:r>
        <w:rPr>
          <w:rFonts w:hint="eastAsia" w:ascii="仿宋_GB2312" w:hAnsi="宋体" w:eastAsia="仿宋_GB2312" w:cs="宋体"/>
          <w:snapToGrid w:val="0"/>
          <w:color w:val="000000"/>
          <w:spacing w:val="-1"/>
          <w:kern w:val="0"/>
          <w:sz w:val="32"/>
          <w:szCs w:val="32"/>
          <w:highlight w:val="none"/>
        </w:rPr>
        <w:t>分为鲜冻禽</w:t>
      </w:r>
      <w:r>
        <w:rPr>
          <w:rFonts w:hint="eastAsia" w:ascii="仿宋_GB2312" w:hAnsi="宋体" w:eastAsia="仿宋_GB2312" w:cs="宋体"/>
          <w:snapToGrid w:val="0"/>
          <w:color w:val="000000"/>
          <w:spacing w:val="-2"/>
          <w:kern w:val="0"/>
          <w:sz w:val="32"/>
          <w:szCs w:val="32"/>
          <w:highlight w:val="none"/>
        </w:rPr>
        <w:t>畜肉类和主副食鲜蔬等其他类</w:t>
      </w:r>
      <w:r>
        <w:rPr>
          <w:rFonts w:hint="eastAsia" w:ascii="仿宋_GB2312" w:eastAsia="仿宋_GB2312"/>
          <w:snapToGrid w:val="0"/>
          <w:color w:val="000000"/>
          <w:spacing w:val="-2"/>
          <w:kern w:val="0"/>
          <w:sz w:val="32"/>
          <w:szCs w:val="32"/>
          <w:highlight w:val="none"/>
        </w:rPr>
        <w:t>2</w:t>
      </w:r>
      <w:r>
        <w:rPr>
          <w:rFonts w:hint="eastAsia" w:ascii="仿宋_GB2312" w:hAnsi="宋体" w:eastAsia="仿宋_GB2312" w:cs="宋体"/>
          <w:snapToGrid w:val="0"/>
          <w:color w:val="000000"/>
          <w:spacing w:val="-2"/>
          <w:kern w:val="0"/>
          <w:sz w:val="32"/>
          <w:szCs w:val="32"/>
          <w:highlight w:val="none"/>
        </w:rPr>
        <w:t>个</w:t>
      </w:r>
      <w:r>
        <w:rPr>
          <w:rFonts w:hint="eastAsia" w:ascii="仿宋_GB2312" w:hAnsi="宋体" w:eastAsia="仿宋_GB2312" w:cs="宋体"/>
          <w:snapToGrid w:val="0"/>
          <w:color w:val="000000"/>
          <w:spacing w:val="-2"/>
          <w:kern w:val="0"/>
          <w:sz w:val="32"/>
          <w:szCs w:val="32"/>
          <w:highlight w:val="none"/>
          <w:lang w:eastAsia="zh-CN"/>
        </w:rPr>
        <w:t>标</w:t>
      </w:r>
      <w:r>
        <w:rPr>
          <w:rFonts w:hint="eastAsia" w:ascii="仿宋_GB2312" w:hAnsi="宋体" w:eastAsia="仿宋_GB2312" w:cs="宋体"/>
          <w:snapToGrid w:val="0"/>
          <w:color w:val="000000"/>
          <w:spacing w:val="-2"/>
          <w:kern w:val="0"/>
          <w:sz w:val="32"/>
          <w:szCs w:val="32"/>
          <w:highlight w:val="none"/>
        </w:rPr>
        <w:t>包。</w:t>
      </w:r>
      <w:bookmarkEnd w:id="1"/>
      <w:r>
        <w:rPr>
          <w:rFonts w:hint="eastAsia" w:ascii="仿宋_GB2312" w:hAnsi="宋体" w:eastAsia="仿宋_GB2312" w:cs="宋体"/>
          <w:snapToGrid w:val="0"/>
          <w:color w:val="000000"/>
          <w:spacing w:val="-1"/>
          <w:kern w:val="0"/>
          <w:sz w:val="32"/>
          <w:szCs w:val="32"/>
          <w:highlight w:val="none"/>
        </w:rPr>
        <w:t>本包采购</w:t>
      </w:r>
      <w:r>
        <w:rPr>
          <w:rFonts w:hint="eastAsia" w:ascii="仿宋_GB2312" w:hAnsi="仿宋_GB2312" w:eastAsia="仿宋_GB2312" w:cs="仿宋_GB2312"/>
          <w:sz w:val="32"/>
          <w:szCs w:val="32"/>
          <w:highlight w:val="none"/>
        </w:rPr>
        <w:t>鲜冻禽畜肉类</w:t>
      </w:r>
      <w:r>
        <w:rPr>
          <w:rFonts w:hint="eastAsia" w:ascii="仿宋_GB2312" w:hAnsi="仿宋_GB2312" w:eastAsia="仿宋_GB2312" w:cs="仿宋_GB2312"/>
          <w:sz w:val="32"/>
          <w:szCs w:val="32"/>
          <w:highlight w:val="none"/>
          <w:lang w:eastAsia="zh-CN"/>
        </w:rPr>
        <w:t>食材</w:t>
      </w:r>
      <w:r>
        <w:rPr>
          <w:rFonts w:hint="eastAsia" w:ascii="仿宋_GB2312" w:hAnsi="仿宋_GB2312" w:eastAsia="仿宋_GB2312" w:cs="仿宋_GB2312"/>
          <w:sz w:val="32"/>
          <w:szCs w:val="32"/>
          <w:highlight w:val="none"/>
        </w:rPr>
        <w:t>，采购预算为</w:t>
      </w:r>
      <w:r>
        <w:rPr>
          <w:rFonts w:hint="eastAsia" w:ascii="仿宋_GB2312" w:hAnsi="仿宋_GB2312" w:eastAsia="仿宋_GB2312" w:cs="仿宋_GB2312"/>
          <w:b w:val="0"/>
          <w:bCs w:val="0"/>
          <w:sz w:val="32"/>
          <w:szCs w:val="32"/>
          <w:highlight w:val="none"/>
          <w:lang w:val="en-US" w:eastAsia="zh-CN"/>
        </w:rPr>
        <w:t>105.7</w:t>
      </w:r>
      <w:r>
        <w:rPr>
          <w:rFonts w:hint="eastAsia" w:ascii="仿宋_GB2312" w:hAnsi="仿宋_GB2312" w:eastAsia="仿宋_GB2312" w:cs="仿宋_GB2312"/>
          <w:sz w:val="32"/>
          <w:szCs w:val="32"/>
          <w:highlight w:val="none"/>
        </w:rPr>
        <w:t>万元，</w:t>
      </w:r>
      <w:r>
        <w:rPr>
          <w:rFonts w:ascii="仿宋_GB2312" w:hAnsi="仿宋_GB2312" w:eastAsia="仿宋_GB2312" w:cs="仿宋_GB2312"/>
          <w:sz w:val="32"/>
          <w:szCs w:val="32"/>
          <w:highlight w:val="none"/>
        </w:rPr>
        <w:t>投标人应在定价依据基础上，同时结合产品价格、运输、装卸、售后服务等情况，对采购项目进行折扣率报价。本项目按食材实际采购量进行结算，总结算金额不超过采购预算。</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1.2.2采购内容</w:t>
      </w:r>
    </w:p>
    <w:p>
      <w:pPr>
        <w:widowControl/>
        <w:kinsoku w:val="0"/>
        <w:autoSpaceDE w:val="0"/>
        <w:autoSpaceDN w:val="0"/>
        <w:adjustRightInd w:val="0"/>
        <w:snapToGrid w:val="0"/>
        <w:spacing w:after="0" w:line="560" w:lineRule="exact"/>
        <w:ind w:firstLine="640" w:firstLineChars="200"/>
        <w:textAlignment w:val="baseline"/>
        <w:rPr>
          <w:rFonts w:ascii="仿宋_GB2312" w:eastAsia="仿宋_GB2312"/>
          <w:snapToGrid w:val="0"/>
          <w:color w:val="000000"/>
          <w:kern w:val="0"/>
          <w:sz w:val="32"/>
          <w:szCs w:val="32"/>
          <w:highlight w:val="none"/>
        </w:rPr>
      </w:pPr>
      <w:r>
        <w:rPr>
          <w:rFonts w:hint="eastAsia" w:ascii="仿宋_GB2312" w:eastAsia="仿宋_GB2312"/>
          <w:snapToGrid w:val="0"/>
          <w:color w:val="000000"/>
          <w:kern w:val="0"/>
          <w:sz w:val="32"/>
          <w:szCs w:val="32"/>
          <w:highlight w:val="none"/>
        </w:rPr>
        <w:t>本包采购国家税务总局北京市税务局</w:t>
      </w:r>
      <w:r>
        <w:rPr>
          <w:rFonts w:hint="eastAsia" w:ascii="仿宋_GB2312" w:eastAsia="仿宋_GB2312"/>
          <w:snapToGrid w:val="0"/>
          <w:color w:val="000000"/>
          <w:kern w:val="0"/>
          <w:sz w:val="32"/>
          <w:szCs w:val="32"/>
          <w:highlight w:val="none"/>
          <w:u w:val="none"/>
          <w:lang w:val="en-US" w:eastAsia="zh-CN"/>
        </w:rPr>
        <w:t>第一稽查</w:t>
      </w:r>
      <w:r>
        <w:rPr>
          <w:rFonts w:hint="eastAsia" w:ascii="仿宋_GB2312" w:eastAsia="仿宋_GB2312"/>
          <w:snapToGrid w:val="0"/>
          <w:color w:val="000000"/>
          <w:kern w:val="0"/>
          <w:sz w:val="32"/>
          <w:szCs w:val="32"/>
          <w:highlight w:val="none"/>
        </w:rPr>
        <w:t>局食堂所需鲜冻禽畜肉类食材，含相应配送。</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1.2.3项目实施要求</w:t>
      </w:r>
    </w:p>
    <w:p>
      <w:pPr>
        <w:pStyle w:val="32"/>
        <w:keepNext w:val="0"/>
        <w:spacing w:before="0" w:after="0" w:line="360" w:lineRule="auto"/>
        <w:rPr>
          <w:rFonts w:ascii="仿宋_GB2312" w:hAnsi="仿宋_GB2312" w:eastAsia="仿宋_GB2312" w:cs="仿宋_GB2312"/>
          <w:highlight w:val="none"/>
        </w:rPr>
      </w:pPr>
      <w:r>
        <w:rPr>
          <w:rFonts w:ascii="仿宋_GB2312" w:hAnsi="仿宋_GB2312" w:eastAsia="仿宋_GB2312" w:cs="仿宋_GB2312"/>
          <w:highlight w:val="none"/>
        </w:rPr>
        <w:t>1.2.3.1实施范围要求</w:t>
      </w:r>
    </w:p>
    <w:p>
      <w:pPr>
        <w:widowControl/>
        <w:overflowPunct w:val="0"/>
        <w:autoSpaceDE w:val="0"/>
        <w:autoSpaceDN w:val="0"/>
        <w:adjustRightInd w:val="0"/>
        <w:snapToGrid w:val="0"/>
        <w:spacing w:line="530" w:lineRule="exact"/>
        <w:ind w:firstLine="640" w:firstLineChars="200"/>
        <w:textAlignment w:val="baseline"/>
        <w:rPr>
          <w:highlight w:val="none"/>
        </w:rPr>
      </w:pPr>
      <w:r>
        <w:rPr>
          <w:rFonts w:ascii="仿宋_GB2312" w:hAnsi="仿宋_GB2312" w:eastAsia="仿宋_GB2312" w:cs="仿宋_GB2312"/>
          <w:sz w:val="32"/>
          <w:szCs w:val="32"/>
          <w:highlight w:val="none"/>
        </w:rPr>
        <w:t>本项目实施范围已在采购产品一览表中列明，表中仅列举食堂常用食材，项目实际采购的品种和数量不限于表内，根据实际采购需求确定。</w:t>
      </w:r>
    </w:p>
    <w:p>
      <w:pPr>
        <w:pStyle w:val="32"/>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1.2.3.2实施时间要求</w:t>
      </w:r>
    </w:p>
    <w:p>
      <w:pPr>
        <w:widowControl/>
        <w:overflowPunct w:val="0"/>
        <w:autoSpaceDE w:val="0"/>
        <w:autoSpaceDN w:val="0"/>
        <w:adjustRightInd w:val="0"/>
        <w:snapToGrid w:val="0"/>
        <w:spacing w:line="53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项目实施时间：2026年</w:t>
      </w:r>
      <w:r>
        <w:rPr>
          <w:rFonts w:hint="eastAsia" w:ascii="仿宋_GB2312" w:eastAsia="仿宋_GB2312" w:cs="Times New Roman"/>
          <w:snapToGrid w:val="0"/>
          <w:color w:val="000000"/>
          <w:kern w:val="0"/>
          <w:sz w:val="32"/>
          <w:szCs w:val="32"/>
          <w:highlight w:val="none"/>
          <w:lang w:val="en-US" w:eastAsia="zh-CN"/>
        </w:rPr>
        <w:t>10</w:t>
      </w:r>
      <w:r>
        <w:rPr>
          <w:rFonts w:hint="eastAsia" w:ascii="仿宋_GB2312" w:hAnsi="Times New Roman" w:eastAsia="仿宋_GB2312" w:cs="Times New Roman"/>
          <w:snapToGrid w:val="0"/>
          <w:color w:val="000000"/>
          <w:kern w:val="0"/>
          <w:sz w:val="32"/>
          <w:szCs w:val="32"/>
          <w:highlight w:val="none"/>
        </w:rPr>
        <w:t>月1日至2027年</w:t>
      </w:r>
      <w:r>
        <w:rPr>
          <w:rFonts w:hint="eastAsia" w:ascii="仿宋_GB2312" w:eastAsia="仿宋_GB2312" w:cs="Times New Roman"/>
          <w:snapToGrid w:val="0"/>
          <w:color w:val="000000"/>
          <w:kern w:val="0"/>
          <w:sz w:val="32"/>
          <w:szCs w:val="32"/>
          <w:highlight w:val="none"/>
          <w:lang w:val="en-US" w:eastAsia="zh-CN"/>
        </w:rPr>
        <w:t>9</w:t>
      </w:r>
      <w:r>
        <w:rPr>
          <w:rFonts w:hint="eastAsia" w:ascii="仿宋_GB2312" w:hAnsi="Times New Roman" w:eastAsia="仿宋_GB2312" w:cs="Times New Roman"/>
          <w:snapToGrid w:val="0"/>
          <w:color w:val="000000"/>
          <w:kern w:val="0"/>
          <w:sz w:val="32"/>
          <w:szCs w:val="32"/>
          <w:highlight w:val="none"/>
        </w:rPr>
        <w:t>月30日。</w:t>
      </w:r>
    </w:p>
    <w:p>
      <w:pPr>
        <w:pStyle w:val="32"/>
        <w:spacing w:after="0" w:line="360" w:lineRule="auto"/>
        <w:rPr>
          <w:highlight w:val="none"/>
        </w:rPr>
      </w:pPr>
      <w:r>
        <w:rPr>
          <w:rFonts w:ascii="仿宋_GB2312" w:hAnsi="仿宋_GB2312" w:eastAsia="仿宋_GB2312" w:cs="仿宋_GB2312"/>
          <w:highlight w:val="none"/>
        </w:rPr>
        <w:t>1.2.3.3实施地点要求</w:t>
      </w:r>
    </w:p>
    <w:p>
      <w:pPr>
        <w:keepNext w:val="0"/>
        <w:keepLines w:val="0"/>
        <w:pageBreakBefore w:val="0"/>
        <w:widowControl/>
        <w:kinsoku/>
        <w:wordWrap/>
        <w:overflowPunct w:val="0"/>
        <w:topLinePunct w:val="0"/>
        <w:autoSpaceDE w:val="0"/>
        <w:autoSpaceDN w:val="0"/>
        <w:bidi w:val="0"/>
        <w:adjustRightInd w:val="0"/>
        <w:snapToGrid w:val="0"/>
        <w:spacing w:after="0" w:line="530" w:lineRule="exact"/>
        <w:ind w:firstLine="640" w:firstLineChars="200"/>
        <w:textAlignment w:val="baseline"/>
        <w:rPr>
          <w:rFonts w:hint="eastAsia" w:ascii="仿宋_GB2312" w:hAnsi="仿宋_GB2312" w:eastAsia="仿宋_GB2312" w:cs="仿宋_GB2312"/>
          <w:b w:val="0"/>
          <w:bCs w:val="0"/>
          <w:sz w:val="32"/>
          <w:szCs w:val="32"/>
          <w:highlight w:val="none"/>
        </w:rPr>
      </w:pPr>
      <w:bookmarkStart w:id="2" w:name="_Hlk202184916"/>
      <w:r>
        <w:rPr>
          <w:rFonts w:hint="eastAsia" w:ascii="仿宋_GB2312" w:hAnsi="仿宋_GB2312" w:eastAsia="仿宋_GB2312" w:cs="仿宋_GB2312"/>
          <w:b w:val="0"/>
          <w:bCs w:val="0"/>
          <w:sz w:val="32"/>
          <w:szCs w:val="32"/>
          <w:highlight w:val="none"/>
        </w:rPr>
        <w:t>包括国家税务总局北京市税务局</w:t>
      </w:r>
      <w:r>
        <w:rPr>
          <w:rFonts w:hint="eastAsia" w:ascii="仿宋_GB2312" w:hAnsi="仿宋_GB2312" w:eastAsia="仿宋_GB2312" w:cs="仿宋_GB2312"/>
          <w:b w:val="0"/>
          <w:bCs w:val="0"/>
          <w:sz w:val="32"/>
          <w:szCs w:val="32"/>
          <w:highlight w:val="none"/>
          <w:lang w:eastAsia="zh-CN"/>
        </w:rPr>
        <w:t>第一稽查局</w:t>
      </w:r>
      <w:r>
        <w:rPr>
          <w:rFonts w:hint="eastAsia" w:ascii="仿宋_GB2312" w:hAnsi="仿宋_GB2312" w:eastAsia="仿宋_GB2312" w:cs="仿宋_GB2312"/>
          <w:b w:val="0"/>
          <w:bCs w:val="0"/>
          <w:sz w:val="32"/>
          <w:szCs w:val="32"/>
          <w:highlight w:val="none"/>
        </w:rPr>
        <w:t>共计</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rPr>
        <w:t>处办公区，具体配送地址如下。在服务期内如遇采购人办公地点变化等情况需要调整配送地址，以采购人书面通知为准。</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after="0" w:line="530" w:lineRule="exact"/>
        <w:ind w:firstLine="640" w:firstLineChars="200"/>
        <w:textAlignment w:val="baseline"/>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1.四平园办公区：具体地址，</w:t>
      </w:r>
      <w:r>
        <w:rPr>
          <w:rFonts w:hint="eastAsia" w:ascii="仿宋_GB2312" w:hAnsi="仿宋_GB2312" w:eastAsia="仿宋_GB2312" w:cs="仿宋_GB2312"/>
          <w:b w:val="0"/>
          <w:bCs w:val="0"/>
          <w:sz w:val="32"/>
          <w:szCs w:val="32"/>
          <w:highlight w:val="none"/>
        </w:rPr>
        <w:t>北京市</w:t>
      </w:r>
      <w:r>
        <w:rPr>
          <w:rFonts w:hint="eastAsia" w:ascii="仿宋_GB2312" w:hAnsi="仿宋_GB2312" w:eastAsia="仿宋_GB2312" w:cs="仿宋_GB2312"/>
          <w:b w:val="0"/>
          <w:bCs w:val="0"/>
          <w:sz w:val="32"/>
          <w:szCs w:val="32"/>
          <w:highlight w:val="none"/>
          <w:lang w:eastAsia="zh-CN"/>
        </w:rPr>
        <w:t>西城区四平园</w:t>
      </w:r>
      <w:r>
        <w:rPr>
          <w:rFonts w:hint="eastAsia" w:ascii="仿宋_GB2312" w:hAnsi="仿宋_GB2312" w:eastAsia="仿宋_GB2312" w:cs="仿宋_GB2312"/>
          <w:b w:val="0"/>
          <w:bCs w:val="0"/>
          <w:sz w:val="32"/>
          <w:szCs w:val="32"/>
          <w:highlight w:val="none"/>
          <w:lang w:val="en-US" w:eastAsia="zh-CN"/>
        </w:rPr>
        <w:t>7号楼。</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after="0" w:line="530" w:lineRule="exact"/>
        <w:ind w:firstLine="640" w:firstLineChars="200"/>
        <w:textAlignment w:val="baseline"/>
        <w:rPr>
          <w:rFonts w:hint="eastAsia" w:ascii="仿宋_GB2312" w:hAnsi="仿宋_GB2312" w:eastAsia="仿宋_GB2312" w:cs="仿宋_GB2312"/>
          <w:snapToGrid w:val="0"/>
          <w:color w:val="000000"/>
          <w:kern w:val="0"/>
          <w:sz w:val="32"/>
          <w:szCs w:val="32"/>
          <w:highlight w:val="none"/>
        </w:rPr>
      </w:pP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eastAsia="zh-CN"/>
        </w:rPr>
        <w:t>南华里办公区：具体地址，</w:t>
      </w:r>
      <w:r>
        <w:rPr>
          <w:rFonts w:hint="eastAsia" w:ascii="仿宋_GB2312" w:hAnsi="仿宋_GB2312" w:eastAsia="仿宋_GB2312" w:cs="仿宋_GB2312"/>
          <w:b w:val="0"/>
          <w:bCs w:val="0"/>
          <w:sz w:val="32"/>
          <w:szCs w:val="32"/>
          <w:highlight w:val="none"/>
        </w:rPr>
        <w:t>北京市</w:t>
      </w:r>
      <w:r>
        <w:rPr>
          <w:rFonts w:hint="eastAsia" w:ascii="仿宋_GB2312" w:hAnsi="仿宋_GB2312" w:eastAsia="仿宋_GB2312" w:cs="仿宋_GB2312"/>
          <w:b w:val="0"/>
          <w:bCs w:val="0"/>
          <w:sz w:val="32"/>
          <w:szCs w:val="32"/>
          <w:highlight w:val="none"/>
          <w:lang w:eastAsia="zh-CN"/>
        </w:rPr>
        <w:t>西城区南华里</w:t>
      </w:r>
      <w:r>
        <w:rPr>
          <w:rFonts w:hint="eastAsia" w:ascii="仿宋_GB2312" w:hAnsi="仿宋_GB2312" w:eastAsia="仿宋_GB2312" w:cs="仿宋_GB2312"/>
          <w:b w:val="0"/>
          <w:bCs w:val="0"/>
          <w:sz w:val="32"/>
          <w:szCs w:val="32"/>
          <w:highlight w:val="none"/>
          <w:lang w:val="en-US" w:eastAsia="zh-CN"/>
        </w:rPr>
        <w:t>10号楼</w:t>
      </w:r>
      <w:r>
        <w:rPr>
          <w:rFonts w:hint="eastAsia" w:ascii="仿宋_GB2312" w:hAnsi="仿宋_GB2312" w:eastAsia="仿宋_GB2312" w:cs="仿宋_GB2312"/>
          <w:b w:val="0"/>
          <w:bCs w:val="0"/>
          <w:sz w:val="32"/>
          <w:szCs w:val="32"/>
          <w:highlight w:val="none"/>
        </w:rPr>
        <w:t>。</w:t>
      </w:r>
      <w:bookmarkEnd w:id="2"/>
    </w:p>
    <w:p>
      <w:pPr>
        <w:pStyle w:val="28"/>
        <w:keepNext w:val="0"/>
        <w:spacing w:before="0" w:after="0" w:line="360" w:lineRule="auto"/>
        <w:jc w:val="center"/>
        <w:rPr>
          <w:rFonts w:hint="eastAsia" w:ascii="楷体_GB2312" w:hAnsi="宋体" w:eastAsia="楷体_GB2312" w:cs="宋体"/>
          <w:snapToGrid w:val="0"/>
          <w:color w:val="000000"/>
          <w:spacing w:val="-5"/>
          <w:kern w:val="0"/>
          <w:sz w:val="32"/>
          <w:szCs w:val="32"/>
          <w:highlight w:val="none"/>
        </w:rPr>
      </w:pPr>
      <w:r>
        <w:rPr>
          <w:rFonts w:ascii="仿宋_GB2312" w:hAnsi="仿宋_GB2312" w:eastAsia="仿宋_GB2312" w:cs="仿宋_GB2312"/>
          <w:kern w:val="36"/>
          <w:highlight w:val="none"/>
        </w:rPr>
        <w:t>2投标/响应要求</w:t>
      </w:r>
    </w:p>
    <w:p>
      <w:pPr>
        <w:pStyle w:val="29"/>
        <w:keepNext w:val="0"/>
        <w:spacing w:before="0" w:after="0" w:line="360" w:lineRule="auto"/>
        <w:rPr>
          <w:rFonts w:ascii="仿宋_GB2312" w:hAnsi="仿宋_GB2312" w:eastAsia="仿宋_GB2312" w:cs="仿宋_GB2312"/>
          <w:i w:val="0"/>
          <w:iCs w:val="0"/>
          <w:highlight w:val="none"/>
        </w:rPr>
      </w:pPr>
      <w:r>
        <w:rPr>
          <w:rFonts w:ascii="仿宋_GB2312" w:hAnsi="仿宋_GB2312" w:eastAsia="仿宋_GB2312" w:cs="仿宋_GB2312"/>
          <w:i w:val="0"/>
          <w:iCs w:val="0"/>
          <w:highlight w:val="none"/>
        </w:rPr>
        <w:t>2.1对供应商的要求</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2.1.1必备资质</w:t>
      </w:r>
    </w:p>
    <w:p>
      <w:pPr>
        <w:pStyle w:val="32"/>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2.1.1.1投标人应遵守有关国家法律、法规和条例,具备《中华人民共和国政府采购法》第二十二条的规定和本文件中规定的条件。</w:t>
      </w:r>
    </w:p>
    <w:p>
      <w:pPr>
        <w:pStyle w:val="32"/>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2.1.1.2本项目的特定资格要求</w:t>
      </w:r>
    </w:p>
    <w:p>
      <w:pPr>
        <w:pStyle w:val="9"/>
        <w:spacing w:before="0" w:after="0" w:line="360" w:lineRule="auto"/>
        <w:rPr>
          <w:rFonts w:ascii="Times New Roman" w:hAnsi="Times New Roman" w:eastAsia="Times New Roman" w:cs="Times New Roman"/>
          <w:highlight w:val="none"/>
        </w:rPr>
      </w:pPr>
      <w:r>
        <w:rPr>
          <w:rFonts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rPr>
        <w:t>供应商应具有《食品经营许可证》或《食品生产许可证》。仅提供《食品生产许可证》的，许可范围应包括本包中除食用农产品外的全部供应品类。</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2.1.2优选资质/优选指标</w:t>
      </w:r>
    </w:p>
    <w:p>
      <w:pPr>
        <w:pStyle w:val="32"/>
        <w:keepNext w:val="0"/>
        <w:spacing w:before="0" w:after="0" w:line="360" w:lineRule="auto"/>
        <w:rPr>
          <w:rFonts w:ascii="仿宋_GB2312" w:hAnsi="仿宋_GB2312" w:eastAsia="仿宋_GB2312" w:cs="仿宋_GB2312"/>
          <w:highlight w:val="none"/>
        </w:rPr>
      </w:pPr>
      <w:r>
        <w:rPr>
          <w:rFonts w:ascii="仿宋_GB2312" w:hAnsi="仿宋_GB2312" w:eastAsia="仿宋_GB2312" w:cs="仿宋_GB2312"/>
          <w:highlight w:val="none"/>
        </w:rPr>
        <w:t>2.1.2.1相关证书</w:t>
      </w:r>
    </w:p>
    <w:p>
      <w:pPr>
        <w:pStyle w:val="9"/>
      </w:pPr>
    </w:p>
    <w:tbl>
      <w:tblPr>
        <w:tblStyle w:val="7"/>
        <w:tblW w:w="5204" w:type="pct"/>
        <w:tblInd w:w="30" w:type="dxa"/>
        <w:tblLayout w:type="fixed"/>
        <w:tblCellMar>
          <w:top w:w="15" w:type="dxa"/>
          <w:left w:w="15" w:type="dxa"/>
          <w:bottom w:w="15" w:type="dxa"/>
          <w:right w:w="15" w:type="dxa"/>
        </w:tblCellMar>
      </w:tblPr>
      <w:tblGrid>
        <w:gridCol w:w="570"/>
        <w:gridCol w:w="1930"/>
        <w:gridCol w:w="1879"/>
        <w:gridCol w:w="4312"/>
      </w:tblGrid>
      <w:tr>
        <w:tblPrEx>
          <w:tblCellMar>
            <w:top w:w="15" w:type="dxa"/>
            <w:left w:w="15" w:type="dxa"/>
            <w:bottom w:w="15" w:type="dxa"/>
            <w:right w:w="15" w:type="dxa"/>
          </w:tblCellMar>
        </w:tblPrEx>
        <w:trPr>
          <w:trHeight w:val="420" w:hRule="atLeast"/>
        </w:trPr>
        <w:tc>
          <w:tcPr>
            <w:tcW w:w="327"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序号</w:t>
            </w:r>
          </w:p>
        </w:tc>
        <w:tc>
          <w:tcPr>
            <w:tcW w:w="1110"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证书名称</w:t>
            </w:r>
          </w:p>
        </w:tc>
        <w:tc>
          <w:tcPr>
            <w:tcW w:w="1081"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颁发部门</w:t>
            </w:r>
          </w:p>
        </w:tc>
        <w:tc>
          <w:tcPr>
            <w:tcW w:w="2480"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相关要求</w:t>
            </w:r>
          </w:p>
        </w:tc>
      </w:tr>
      <w:tr>
        <w:tblPrEx>
          <w:tblCellMar>
            <w:top w:w="15" w:type="dxa"/>
            <w:left w:w="15" w:type="dxa"/>
            <w:bottom w:w="15" w:type="dxa"/>
            <w:right w:w="15" w:type="dxa"/>
          </w:tblCellMar>
        </w:tblPrEx>
        <w:tc>
          <w:tcPr>
            <w:tcW w:w="327"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1</w:t>
            </w:r>
          </w:p>
        </w:tc>
        <w:tc>
          <w:tcPr>
            <w:tcW w:w="111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lang w:eastAsia="zh-CN"/>
              </w:rPr>
            </w:pPr>
            <w:r>
              <w:rPr>
                <w:rFonts w:hint="default" w:ascii="仿宋_GB2312" w:hAnsi="仿宋_GB2312" w:eastAsia="仿宋_GB2312" w:cs="仿宋_GB2312"/>
                <w:sz w:val="21"/>
                <w:szCs w:val="21"/>
                <w:highlight w:val="none"/>
                <w:lang w:eastAsia="zh-CN"/>
              </w:rPr>
              <w:t>质量管理体系认证证书(ISO9001或GB/T19001)</w:t>
            </w:r>
          </w:p>
        </w:tc>
        <w:tc>
          <w:tcPr>
            <w:tcW w:w="108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经</w:t>
            </w:r>
            <w:r>
              <w:rPr>
                <w:rFonts w:hint="default" w:ascii="仿宋_GB2312" w:hAnsi="仿宋_GB2312" w:eastAsia="仿宋_GB2312" w:cs="仿宋_GB2312"/>
                <w:sz w:val="21"/>
                <w:szCs w:val="21"/>
                <w:highlight w:val="none"/>
                <w:lang w:val="en-US" w:eastAsia="zh-CN"/>
              </w:rPr>
              <w:t>国家认监委批准设立的</w:t>
            </w:r>
            <w:r>
              <w:rPr>
                <w:rFonts w:hint="default" w:ascii="仿宋_GB2312" w:hAnsi="仿宋_GB2312" w:eastAsia="仿宋_GB2312" w:cs="仿宋_GB2312"/>
                <w:sz w:val="21"/>
                <w:szCs w:val="21"/>
                <w:highlight w:val="none"/>
              </w:rPr>
              <w:t>第三方认证机构</w:t>
            </w:r>
          </w:p>
        </w:tc>
        <w:tc>
          <w:tcPr>
            <w:tcW w:w="24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lang w:val="en-US" w:eastAsia="zh-CN"/>
              </w:rPr>
              <w:t>需提供有效认证证书复印件及提供上述证书对应的在全国认证认可信息公共服务平台上（http://cx.cnca.cn）查询结果的截图，并加盖投标人单位公章，不提供或证书状态非“有效”均不得分。</w:t>
            </w:r>
          </w:p>
        </w:tc>
      </w:tr>
      <w:tr>
        <w:tblPrEx>
          <w:tblCellMar>
            <w:top w:w="15" w:type="dxa"/>
            <w:left w:w="15" w:type="dxa"/>
            <w:bottom w:w="15" w:type="dxa"/>
            <w:right w:w="15" w:type="dxa"/>
          </w:tblCellMar>
        </w:tblPrEx>
        <w:tc>
          <w:tcPr>
            <w:tcW w:w="327"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2</w:t>
            </w:r>
          </w:p>
        </w:tc>
        <w:tc>
          <w:tcPr>
            <w:tcW w:w="111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lang w:eastAsia="zh-CN"/>
              </w:rPr>
            </w:pPr>
            <w:r>
              <w:rPr>
                <w:rFonts w:hint="default" w:ascii="仿宋_GB2312" w:hAnsi="仿宋_GB2312" w:eastAsia="仿宋_GB2312" w:cs="仿宋_GB2312"/>
                <w:sz w:val="21"/>
                <w:szCs w:val="21"/>
                <w:highlight w:val="none"/>
                <w:lang w:eastAsia="zh-CN"/>
              </w:rPr>
              <w:t>食品安全管理体系认证证书（ISO 22000</w:t>
            </w:r>
            <w:r>
              <w:rPr>
                <w:rFonts w:hint="default" w:ascii="仿宋_GB2312" w:hAnsi="仿宋_GB2312" w:eastAsia="仿宋_GB2312" w:cs="仿宋_GB2312"/>
                <w:sz w:val="21"/>
                <w:szCs w:val="21"/>
                <w:highlight w:val="none"/>
                <w:lang w:val="en-US" w:eastAsia="zh-CN"/>
              </w:rPr>
              <w:t>或G</w:t>
            </w:r>
            <w:r>
              <w:rPr>
                <w:rFonts w:hint="default" w:ascii="仿宋_GB2312" w:hAnsi="仿宋_GB2312" w:eastAsia="仿宋_GB2312" w:cs="仿宋_GB2312"/>
                <w:sz w:val="21"/>
                <w:szCs w:val="21"/>
                <w:highlight w:val="none"/>
                <w:lang w:eastAsia="zh-CN"/>
              </w:rPr>
              <w:t>B/T22000）</w:t>
            </w:r>
          </w:p>
        </w:tc>
        <w:tc>
          <w:tcPr>
            <w:tcW w:w="108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经</w:t>
            </w:r>
            <w:r>
              <w:rPr>
                <w:rFonts w:hint="default" w:ascii="仿宋_GB2312" w:hAnsi="仿宋_GB2312" w:eastAsia="仿宋_GB2312" w:cs="仿宋_GB2312"/>
                <w:sz w:val="21"/>
                <w:szCs w:val="21"/>
                <w:highlight w:val="none"/>
                <w:lang w:val="en-US" w:eastAsia="zh-CN"/>
              </w:rPr>
              <w:t>国家认监委批准设立</w:t>
            </w:r>
            <w:r>
              <w:rPr>
                <w:rFonts w:hint="default" w:ascii="仿宋_GB2312" w:hAnsi="仿宋_GB2312" w:eastAsia="仿宋_GB2312" w:cs="仿宋_GB2312"/>
                <w:sz w:val="21"/>
                <w:szCs w:val="21"/>
                <w:highlight w:val="none"/>
              </w:rPr>
              <w:t>的第三方认证机构</w:t>
            </w:r>
          </w:p>
        </w:tc>
        <w:tc>
          <w:tcPr>
            <w:tcW w:w="24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lang w:val="en-US" w:eastAsia="zh-CN"/>
              </w:rPr>
              <w:t>需提供有效认证证书复印件及提供上述证书对应的在全国认证认可信息公共服务平台上（http://cx.cnca.cn）查询结果的截图，并加盖投标人单位公章，不提供或证书状态非“有效”均不得分。</w:t>
            </w:r>
            <w:r>
              <w:rPr>
                <w:rFonts w:hint="default" w:ascii="仿宋_GB2312" w:hAnsi="仿宋_GB2312" w:eastAsia="仿宋_GB2312" w:cs="仿宋_GB2312"/>
                <w:sz w:val="21"/>
                <w:szCs w:val="21"/>
                <w:highlight w:val="none"/>
              </w:rPr>
              <w:t xml:space="preserve"> </w:t>
            </w:r>
          </w:p>
        </w:tc>
      </w:tr>
      <w:tr>
        <w:tblPrEx>
          <w:tblCellMar>
            <w:top w:w="15" w:type="dxa"/>
            <w:left w:w="15" w:type="dxa"/>
            <w:bottom w:w="15" w:type="dxa"/>
            <w:right w:w="15" w:type="dxa"/>
          </w:tblCellMar>
        </w:tblPrEx>
        <w:tc>
          <w:tcPr>
            <w:tcW w:w="327"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3</w:t>
            </w:r>
          </w:p>
        </w:tc>
        <w:tc>
          <w:tcPr>
            <w:tcW w:w="111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lang w:eastAsia="zh-CN"/>
              </w:rPr>
            </w:pPr>
            <w:r>
              <w:rPr>
                <w:rFonts w:hint="default" w:ascii="仿宋_GB2312" w:hAnsi="仿宋_GB2312" w:eastAsia="仿宋_GB2312" w:cs="仿宋_GB2312"/>
                <w:sz w:val="21"/>
                <w:szCs w:val="21"/>
                <w:highlight w:val="none"/>
                <w:lang w:eastAsia="zh-CN"/>
              </w:rPr>
              <w:t>职业健康安全管理体系认证（IS0 45001</w:t>
            </w:r>
            <w:r>
              <w:rPr>
                <w:rFonts w:hint="default" w:ascii="仿宋_GB2312" w:hAnsi="仿宋_GB2312" w:eastAsia="仿宋_GB2312" w:cs="仿宋_GB2312"/>
                <w:sz w:val="21"/>
                <w:szCs w:val="21"/>
                <w:highlight w:val="none"/>
                <w:lang w:val="en-US" w:eastAsia="zh-CN"/>
              </w:rPr>
              <w:t>或</w:t>
            </w:r>
            <w:r>
              <w:rPr>
                <w:rFonts w:hint="default" w:ascii="仿宋_GB2312" w:hAnsi="仿宋_GB2312" w:eastAsia="仿宋_GB2312" w:cs="仿宋_GB2312"/>
                <w:sz w:val="21"/>
                <w:szCs w:val="21"/>
                <w:highlight w:val="none"/>
                <w:lang w:eastAsia="zh-CN"/>
              </w:rPr>
              <w:t>GB/T 45001）</w:t>
            </w:r>
          </w:p>
        </w:tc>
        <w:tc>
          <w:tcPr>
            <w:tcW w:w="108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经</w:t>
            </w:r>
            <w:r>
              <w:rPr>
                <w:rFonts w:hint="default" w:ascii="仿宋_GB2312" w:hAnsi="仿宋_GB2312" w:eastAsia="仿宋_GB2312" w:cs="仿宋_GB2312"/>
                <w:sz w:val="21"/>
                <w:szCs w:val="21"/>
                <w:highlight w:val="none"/>
                <w:lang w:val="en-US" w:eastAsia="zh-CN"/>
              </w:rPr>
              <w:t>国家认监委批准设立的</w:t>
            </w:r>
            <w:r>
              <w:rPr>
                <w:rFonts w:hint="default" w:ascii="仿宋_GB2312" w:hAnsi="仿宋_GB2312" w:eastAsia="仿宋_GB2312" w:cs="仿宋_GB2312"/>
                <w:sz w:val="21"/>
                <w:szCs w:val="21"/>
                <w:highlight w:val="none"/>
              </w:rPr>
              <w:t>第三方认证机构</w:t>
            </w:r>
          </w:p>
        </w:tc>
        <w:tc>
          <w:tcPr>
            <w:tcW w:w="24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suppressLineNumbers w:val="0"/>
              <w:spacing w:before="0" w:beforeAutospacing="0" w:after="0" w:afterAutospacing="0" w:line="360" w:lineRule="auto"/>
              <w:ind w:left="0" w:right="0"/>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lang w:val="en-US" w:eastAsia="zh-CN"/>
              </w:rPr>
              <w:t>需提供有效认证证书复印件及提供上述证书对应的在全国认证认可信息公共服务平台上（http://cx.cnca.cn）查询结果的截图，并加盖投标人单位公章，不提供或证书状态非“有效”均不得分。</w:t>
            </w:r>
          </w:p>
        </w:tc>
      </w:tr>
    </w:tbl>
    <w:p>
      <w:pPr>
        <w:pStyle w:val="32"/>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2.1.2.2成功案例</w:t>
      </w:r>
    </w:p>
    <w:p>
      <w:pPr>
        <w:spacing w:before="0" w:after="0" w:line="360" w:lineRule="auto"/>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en-US"/>
        </w:rPr>
        <w:t>有效案例为2023年1月1日至本项目投标截止时间止（以合同签订日期为准），投标人独立承担的同类型项目案例（必须包含本包采购的肉类食材），给予加分</w:t>
      </w:r>
      <w:r>
        <w:rPr>
          <w:rFonts w:hint="eastAsia" w:ascii="仿宋_GB2312" w:hAnsi="仿宋_GB2312" w:eastAsia="仿宋_GB2312" w:cs="仿宋_GB2312"/>
          <w:sz w:val="32"/>
          <w:szCs w:val="32"/>
          <w:highlight w:val="none"/>
          <w:lang w:val="en-US" w:eastAsia="zh-CN"/>
        </w:rPr>
        <w:t>。</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2.1.3</w:t>
      </w:r>
      <w:r>
        <w:rPr>
          <w:rFonts w:hint="eastAsia" w:ascii="仿宋_GB2312" w:hAnsi="仿宋_GB2312" w:eastAsia="仿宋_GB2312" w:cs="仿宋_GB2312"/>
          <w:sz w:val="28"/>
          <w:szCs w:val="28"/>
          <w:highlight w:val="none"/>
        </w:rPr>
        <w:t>是否允许转包、分包</w:t>
      </w:r>
    </w:p>
    <w:p>
      <w:pPr>
        <w:pStyle w:val="9"/>
        <w:spacing w:before="0" w:after="0" w:line="360" w:lineRule="auto"/>
        <w:ind w:firstLine="561"/>
        <w:rPr>
          <w:rFonts w:hint="eastAsia" w:ascii="仿宋_GB2312" w:hAnsi="仿宋_GB2312" w:eastAsia="仿宋_GB2312" w:cs="仿宋_GB2312"/>
          <w:kern w:val="2"/>
          <w:sz w:val="32"/>
          <w:szCs w:val="32"/>
          <w:highlight w:val="none"/>
          <w:lang w:val="en-US" w:eastAsia="en-US" w:bidi="ar-SA"/>
        </w:rPr>
      </w:pPr>
      <w:r>
        <w:rPr>
          <w:rFonts w:hint="eastAsia" w:ascii="仿宋_GB2312" w:hAnsi="仿宋_GB2312" w:eastAsia="仿宋_GB2312" w:cs="仿宋_GB2312"/>
          <w:kern w:val="2"/>
          <w:sz w:val="32"/>
          <w:szCs w:val="32"/>
          <w:highlight w:val="none"/>
          <w:lang w:val="en-US" w:eastAsia="en-US" w:bidi="ar-SA"/>
        </w:rPr>
        <w:t>否</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2.1.4是否专门面向中小企业</w:t>
      </w:r>
    </w:p>
    <w:p>
      <w:pPr>
        <w:ind w:firstLine="640" w:firstLineChars="200"/>
        <w:rPr>
          <w:rFonts w:hint="eastAsia"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rPr>
        <w:t>本项目不专门面向中小企业采购</w:t>
      </w:r>
      <w:r>
        <w:rPr>
          <w:rFonts w:hint="eastAsia" w:ascii="仿宋_GB2312" w:hAnsi="仿宋_GB2312" w:eastAsia="仿宋_GB2312" w:cs="仿宋_GB2312"/>
          <w:sz w:val="32"/>
          <w:szCs w:val="32"/>
          <w:highlight w:val="none"/>
          <w:lang w:eastAsia="zh-CN"/>
        </w:rPr>
        <w:t>。</w:t>
      </w:r>
    </w:p>
    <w:p>
      <w:pPr>
        <w:pStyle w:val="29"/>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2.2技术部分投标/响应内容</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2.2.1技术投标/响应总要求</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投标人必须针对技术部分中的需求逐个或分块作出实质性响应，其响应与采购文件内容采用同样的顺序。对每个需求的响应必须遵循如下规则：</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（1）重复该需求。</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（2）用“是/否”响应来表明该需求是否被满足。</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（3）简要描述投标文件如何满足该需求，如果该响应在投标文件其他部分有详述，可在该处简单应答，但必须给出确切的位置索引。</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（4）解释投标文件与用户需求之间的偏差，用数量来表示的需求，必须用确切的数字、单位来响应。</w:t>
      </w:r>
    </w:p>
    <w:p>
      <w:pPr>
        <w:pStyle w:val="33"/>
        <w:spacing w:before="0" w:after="0" w:line="360" w:lineRule="auto"/>
        <w:ind w:left="0" w:firstLine="64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对招标文件（技术部分）的应答应至少包含招标文件技术部分中的全部内容。投标人应提供实质性确切响应，并有详细的文字描述和说明，任何仅采用“符合”、“满足”或非确定性数值（如“&gt;=”或“&lt;=”）的响应均将被视为没有对招标文件的实质性响应，从而可能导致严重后果直至投标被拒绝。</w:t>
      </w:r>
    </w:p>
    <w:p>
      <w:pPr>
        <w:pStyle w:val="33"/>
        <w:spacing w:before="0" w:after="0" w:line="360" w:lineRule="auto"/>
        <w:ind w:left="0" w:firstLine="64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（6）招标文件（技术部分）中有标注★号的，为必备服务内容，必须满足，如未作出响应，将导致投标无效。#为重要服务内容、△为一般服务内容。</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是否提供证明材料为“是”的，投标人/响应人须提供包含相关指标项的证明材料，未提供有效证明材料或证明材料中内容与所填报指标不一致的，该指标按不满足处理。</w:t>
      </w:r>
    </w:p>
    <w:p>
      <w:pPr>
        <w:pStyle w:val="33"/>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除需求中明确要求投标人承诺的事项外，其他要求提供证明材料的指标中，提供投标人承诺作为应答的不予认定。</w:t>
      </w:r>
    </w:p>
    <w:p>
      <w:pPr>
        <w:pStyle w:val="30"/>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2.2.2投标/响应方案要求</w:t>
      </w:r>
    </w:p>
    <w:p>
      <w:pPr>
        <w:pStyle w:val="33"/>
        <w:spacing w:before="0" w:after="0" w:line="360" w:lineRule="auto"/>
        <w:ind w:left="0" w:firstLine="64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以下相关方案，若作为评审因素，则投标人应在满足★关键指标项要求的前提下，根据项目特点和采购需求，制定更为完整、详细、可操作性强的方案。</w:t>
      </w:r>
    </w:p>
    <w:p>
      <w:pPr>
        <w:pStyle w:val="33"/>
        <w:spacing w:before="0" w:after="0" w:line="360" w:lineRule="auto"/>
        <w:ind w:left="0" w:firstLine="64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对本项目技术需求书的完全响应，具体包括：项目需求理解、供应方案、质量安全把控方案、应急保障方案和货物验收方案。</w:t>
      </w:r>
    </w:p>
    <w:p>
      <w:pPr>
        <w:pStyle w:val="33"/>
        <w:spacing w:before="0" w:after="0" w:line="360" w:lineRule="auto"/>
        <w:ind w:left="0"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（1）项目需求理解</w:t>
      </w:r>
    </w:p>
    <w:p>
      <w:pPr>
        <w:pStyle w:val="33"/>
        <w:spacing w:before="0" w:after="0" w:line="360" w:lineRule="auto"/>
        <w:ind w:left="0"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投标人应详细阐述对本包整体技术业务需求内容的理解，深入分析并提供详细的需求分析说明。</w:t>
      </w:r>
    </w:p>
    <w:p>
      <w:pPr>
        <w:pStyle w:val="33"/>
        <w:numPr>
          <w:ilvl w:val="0"/>
          <w:numId w:val="1"/>
        </w:numPr>
        <w:spacing w:before="0" w:after="0" w:line="360" w:lineRule="auto"/>
        <w:ind w:firstLine="640"/>
        <w:jc w:val="both"/>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供应方案和质量安全把控方案的具体要求见</w:t>
      </w:r>
      <w:r>
        <w:rPr>
          <w:rFonts w:hint="eastAsia" w:ascii="仿宋_GB2312" w:hAnsi="仿宋_GB2312" w:eastAsia="仿宋_GB2312" w:cs="仿宋_GB2312"/>
          <w:sz w:val="32"/>
          <w:szCs w:val="32"/>
          <w:highlight w:val="none"/>
        </w:rPr>
        <w:t>“5.1供应方案要求”、“5.2质量安全把控方案要求”。</w:t>
      </w:r>
    </w:p>
    <w:p>
      <w:pPr>
        <w:pStyle w:val="33"/>
        <w:numPr>
          <w:ilvl w:val="0"/>
          <w:numId w:val="0"/>
        </w:numPr>
        <w:spacing w:before="0" w:after="0" w:line="360" w:lineRule="auto"/>
        <w:ind w:firstLine="640" w:firstLineChars="20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（3）应急保障方案的具体要求见“</w:t>
      </w:r>
      <w:r>
        <w:rPr>
          <w:rFonts w:hint="default" w:ascii="仿宋_GB2312" w:hAnsi="仿宋_GB2312" w:eastAsia="仿宋_GB2312" w:cs="仿宋_GB2312"/>
          <w:sz w:val="32"/>
          <w:szCs w:val="32"/>
          <w:highlight w:val="none"/>
          <w:lang w:val="en-US" w:eastAsia="zh-CN"/>
        </w:rPr>
        <w:t>6</w:t>
      </w:r>
      <w:r>
        <w:rPr>
          <w:rFonts w:ascii="仿宋_GB2312" w:hAnsi="仿宋_GB2312" w:eastAsia="仿宋_GB2312" w:cs="仿宋_GB2312"/>
          <w:sz w:val="32"/>
          <w:szCs w:val="32"/>
          <w:highlight w:val="none"/>
        </w:rPr>
        <w:t>风险管控要求”。</w:t>
      </w:r>
    </w:p>
    <w:p>
      <w:pPr>
        <w:pStyle w:val="33"/>
        <w:spacing w:before="0" w:after="0" w:line="360" w:lineRule="auto"/>
        <w:ind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（4）货物验收方案的具体要求见</w:t>
      </w:r>
      <w:r>
        <w:rPr>
          <w:rFonts w:hint="default" w:ascii="仿宋_GB2312" w:hAnsi="仿宋_GB2312" w:eastAsia="仿宋_GB2312" w:cs="仿宋_GB2312"/>
          <w:sz w:val="32"/>
          <w:szCs w:val="32"/>
          <w:highlight w:val="none"/>
          <w:lang w:eastAsia="zh-CN"/>
        </w:rPr>
        <w:t>“</w:t>
      </w:r>
      <w:r>
        <w:rPr>
          <w:rFonts w:hint="default" w:ascii="仿宋_GB2312" w:hAnsi="仿宋_GB2312" w:eastAsia="仿宋_GB2312" w:cs="仿宋_GB2312"/>
          <w:b w:val="0"/>
          <w:bCs w:val="0"/>
          <w:snapToGrid/>
          <w:color w:val="auto"/>
          <w:spacing w:val="0"/>
          <w:kern w:val="0"/>
          <w:sz w:val="32"/>
          <w:szCs w:val="32"/>
          <w:highlight w:val="none"/>
          <w:lang w:val="en-US" w:eastAsia="zh-CN" w:bidi="ar-SA"/>
        </w:rPr>
        <w:t>5</w:t>
      </w:r>
      <w:r>
        <w:rPr>
          <w:rFonts w:ascii="仿宋_GB2312" w:hAnsi="仿宋_GB2312" w:eastAsia="仿宋_GB2312" w:cs="仿宋_GB2312"/>
          <w:b w:val="0"/>
          <w:bCs w:val="0"/>
          <w:snapToGrid/>
          <w:color w:val="auto"/>
          <w:spacing w:val="0"/>
          <w:kern w:val="0"/>
          <w:sz w:val="32"/>
          <w:szCs w:val="32"/>
          <w:highlight w:val="none"/>
          <w:lang w:val="en-US" w:eastAsia="en-US" w:bidi="ar-SA"/>
        </w:rPr>
        <w:t>.</w:t>
      </w:r>
      <w:r>
        <w:rPr>
          <w:rFonts w:hint="default" w:ascii="仿宋_GB2312" w:hAnsi="仿宋_GB2312" w:eastAsia="仿宋_GB2312" w:cs="仿宋_GB2312"/>
          <w:b w:val="0"/>
          <w:bCs w:val="0"/>
          <w:snapToGrid/>
          <w:color w:val="auto"/>
          <w:spacing w:val="0"/>
          <w:kern w:val="0"/>
          <w:sz w:val="32"/>
          <w:szCs w:val="32"/>
          <w:highlight w:val="none"/>
          <w:lang w:val="en-US" w:eastAsia="zh-CN" w:bidi="ar-SA"/>
        </w:rPr>
        <w:t>3</w:t>
      </w:r>
      <w:r>
        <w:rPr>
          <w:rFonts w:ascii="仿宋_GB2312" w:hAnsi="仿宋_GB2312" w:eastAsia="仿宋_GB2312" w:cs="仿宋_GB2312"/>
          <w:b w:val="0"/>
          <w:bCs w:val="0"/>
          <w:snapToGrid/>
          <w:color w:val="auto"/>
          <w:spacing w:val="0"/>
          <w:kern w:val="0"/>
          <w:sz w:val="32"/>
          <w:szCs w:val="32"/>
          <w:highlight w:val="none"/>
          <w:lang w:val="en-US" w:eastAsia="en-US" w:bidi="ar-SA"/>
        </w:rPr>
        <w:t>货物验收方案要求</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eastAsia="zh-CN"/>
        </w:rPr>
        <w:t>、</w:t>
      </w:r>
      <w:r>
        <w:rPr>
          <w:rFonts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lang w:val="en-US" w:eastAsia="zh-CN"/>
        </w:rPr>
        <w:t>7</w:t>
      </w:r>
      <w:r>
        <w:rPr>
          <w:rFonts w:ascii="仿宋_GB2312" w:hAnsi="仿宋_GB2312" w:eastAsia="仿宋_GB2312" w:cs="仿宋_GB2312"/>
          <w:sz w:val="32"/>
          <w:szCs w:val="32"/>
          <w:highlight w:val="none"/>
        </w:rPr>
        <w:t>履约验收要求”。</w:t>
      </w:r>
    </w:p>
    <w:p>
      <w:pPr>
        <w:pStyle w:val="33"/>
        <w:keepNext w:val="0"/>
        <w:keepLines w:val="0"/>
        <w:pageBreakBefore w:val="0"/>
        <w:widowControl/>
        <w:kinsoku/>
        <w:wordWrap/>
        <w:overflowPunct/>
        <w:topLinePunct w:val="0"/>
        <w:autoSpaceDE/>
        <w:autoSpaceDN/>
        <w:bidi w:val="0"/>
        <w:adjustRightInd/>
        <w:snapToGrid/>
        <w:spacing w:before="0" w:after="0" w:line="560" w:lineRule="exact"/>
        <w:ind w:firstLine="602" w:firstLineChars="200"/>
        <w:jc w:val="both"/>
        <w:textAlignment w:val="auto"/>
        <w:rPr>
          <w:rFonts w:ascii="Times New Roman" w:hAnsi="Times New Roman" w:eastAsia="Times New Roman" w:cs="Times New Roman"/>
          <w:sz w:val="30"/>
          <w:szCs w:val="30"/>
          <w:highlight w:val="none"/>
        </w:rPr>
      </w:pPr>
      <w:r>
        <w:rPr>
          <w:rFonts w:ascii="仿宋_GB2312" w:hAnsi="仿宋_GB2312" w:eastAsia="仿宋_GB2312" w:cs="仿宋_GB2312"/>
          <w:b/>
          <w:bCs/>
          <w:sz w:val="30"/>
          <w:szCs w:val="30"/>
          <w:highlight w:val="none"/>
        </w:rPr>
        <w:t>上述方案要求，若作为评审因素，则应在满足★关键指标项要求的前提下，基于对#、△指标项的应答，根据项目特点和采购需求，对如何实现指标要求提出具体措施，制定完整、详细、可操作性强的方案。</w:t>
      </w:r>
    </w:p>
    <w:p>
      <w:pPr>
        <w:pStyle w:val="28"/>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3项目需求</w:t>
      </w:r>
    </w:p>
    <w:p>
      <w:pPr>
        <w:pStyle w:val="29"/>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3.1总体要求</w:t>
      </w:r>
    </w:p>
    <w:p>
      <w:pPr>
        <w:pStyle w:val="34"/>
        <w:spacing w:before="0" w:after="0" w:line="360" w:lineRule="auto"/>
        <w:jc w:val="both"/>
        <w:rPr>
          <w:highlight w:val="none"/>
        </w:rPr>
      </w:pPr>
      <w:r>
        <w:rPr>
          <w:rFonts w:ascii="仿宋_GB2312" w:hAnsi="仿宋_GB2312" w:eastAsia="仿宋_GB2312" w:cs="仿宋_GB2312"/>
          <w:sz w:val="32"/>
          <w:szCs w:val="32"/>
          <w:highlight w:val="none"/>
        </w:rPr>
        <w:t> </w:t>
      </w:r>
      <w:r>
        <w:rPr>
          <w:rFonts w:ascii="仿宋_GB2312" w:hAnsi="仿宋_GB2312" w:eastAsia="仿宋_GB2312" w:cs="仿宋_GB2312"/>
          <w:kern w:val="0"/>
          <w:sz w:val="32"/>
          <w:szCs w:val="32"/>
          <w:highlight w:val="none"/>
          <w:lang w:val="en-US" w:eastAsia="en-US" w:bidi="ar-SA"/>
        </w:rPr>
        <w:t xml:space="preserve">   投标人应严格遵守《食品安全法》等相关规定，严格保证食品质量符合国家相关产品质量标准，符合国家各级强制性规范的要求。在中标后如出现因食用其提供的食品导致食物中毒事故发生，投标人应对此承担一切法律责任。</w:t>
      </w:r>
    </w:p>
    <w:p>
      <w:pPr>
        <w:pStyle w:val="29"/>
        <w:keepNext w:val="0"/>
        <w:spacing w:before="0" w:after="0" w:line="360" w:lineRule="auto"/>
        <w:rPr>
          <w:rFonts w:ascii="楷体" w:hAnsi="楷体" w:eastAsia="楷体" w:cs="楷体"/>
          <w:bCs/>
          <w:sz w:val="32"/>
          <w:szCs w:val="32"/>
          <w:highlight w:val="none"/>
        </w:rPr>
      </w:pPr>
      <w:r>
        <w:rPr>
          <w:rFonts w:ascii="仿宋_GB2312" w:hAnsi="仿宋_GB2312" w:eastAsia="仿宋_GB2312" w:cs="仿宋_GB2312"/>
          <w:i w:val="0"/>
          <w:iCs w:val="0"/>
          <w:highlight w:val="none"/>
        </w:rPr>
        <w:t>3.2采购产品一览表</w:t>
      </w:r>
    </w:p>
    <w:tbl>
      <w:tblPr>
        <w:tblStyle w:val="7"/>
        <w:tblW w:w="8246" w:type="dxa"/>
        <w:tblInd w:w="52" w:type="dxa"/>
        <w:tblLayout w:type="autofit"/>
        <w:tblCellMar>
          <w:top w:w="15" w:type="dxa"/>
          <w:left w:w="15" w:type="dxa"/>
          <w:bottom w:w="15" w:type="dxa"/>
          <w:right w:w="15" w:type="dxa"/>
        </w:tblCellMar>
      </w:tblPr>
      <w:tblGrid>
        <w:gridCol w:w="729"/>
        <w:gridCol w:w="2047"/>
        <w:gridCol w:w="2816"/>
        <w:gridCol w:w="2654"/>
      </w:tblGrid>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序号</w:t>
            </w:r>
          </w:p>
        </w:tc>
        <w:tc>
          <w:tcPr>
            <w:tcW w:w="2047"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产品类别</w:t>
            </w:r>
          </w:p>
        </w:tc>
        <w:tc>
          <w:tcPr>
            <w:tcW w:w="2816"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产品名称</w:t>
            </w:r>
          </w:p>
        </w:tc>
        <w:tc>
          <w:tcPr>
            <w:tcW w:w="2654"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备注</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猪肉、脏器及副产品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猪肉（前尖、后尖、通脊、精五花等）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2</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猪肉、脏器及副产品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猪带肉骨（后腿骨、精肋排、腔骨块、前排块等）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3</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猪肉、脏器及副产品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猪肉馅（三七馅、去皮前尖馅等）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4</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猪肉、脏器及副产品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猪肉丝、丁、片等（五花丁、片等）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5</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猪肉、脏器及副产品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猪脏器（肥肠、肝、肚等）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6</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猪肉、脏器及副产品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猪副产品（耳朵、肘、蹄等）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rPr>
          <w:trHeight w:val="1377" w:hRule="atLeast"/>
        </w:trPr>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7</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牛羊肉及各部件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牛肉（腱子、牛腩、上脑、里脊、外脊、腹肉、小黄瓜条、辣椒肉、肋排快等）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rPr>
          <w:trHeight w:val="957" w:hRule="atLeast"/>
        </w:trPr>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8</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牛羊肉及各部件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原切牛排、牛肉片等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9</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牛羊肉及各部件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羊肉（羊肉卷、羊肋排、羊杂等）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10</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禽肉及各部件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鸡肉(肉丝、丁、片、鸡大胸、鸡腿肉等)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11</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禽肉及各部件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鸡杂（胗、心、肝等）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12</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禽肉及各部件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鸡翅中、翅根、琵琶腿、手枪腿等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rPr>
          <w:trHeight w:val="861" w:hRule="atLeast"/>
        </w:trPr>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13</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禽肉及各部件</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鸭腿（块）</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rPr>
          <w:trHeight w:val="1389" w:hRule="atLeast"/>
        </w:trPr>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14</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肉制品/半成品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肠类（培根、红肠、香肠、蒜肠、灌肠、香肚、火腿、京肠、烤肠等）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r>
        <w:tblPrEx>
          <w:tblCellMar>
            <w:top w:w="15" w:type="dxa"/>
            <w:left w:w="15" w:type="dxa"/>
            <w:bottom w:w="15" w:type="dxa"/>
            <w:right w:w="15" w:type="dxa"/>
          </w:tblCellMar>
        </w:tblPrEx>
        <w:tc>
          <w:tcPr>
            <w:tcW w:w="72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15</w:t>
            </w:r>
          </w:p>
        </w:tc>
        <w:tc>
          <w:tcPr>
            <w:tcW w:w="204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肉制品/半成品</w:t>
            </w:r>
          </w:p>
        </w:tc>
        <w:tc>
          <w:tcPr>
            <w:tcW w:w="281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半成品（小酥肉、烤鸡架、骨肉相连、锅包肉、黄金鸡柳、鸡肉丸、鸡肉圈、炸鸡块等）</w:t>
            </w:r>
          </w:p>
        </w:tc>
        <w:tc>
          <w:tcPr>
            <w:tcW w:w="26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采购数量以甲方实际下单数量为准。</w:t>
            </w:r>
          </w:p>
        </w:tc>
      </w:tr>
    </w:tbl>
    <w:p>
      <w:pPr>
        <w:pStyle w:val="29"/>
        <w:keepNext w:val="0"/>
        <w:spacing w:before="0" w:after="0" w:line="360" w:lineRule="auto"/>
        <w:rPr>
          <w:rFonts w:ascii="仿宋_GB2312" w:hAnsi="仿宋_GB2312" w:eastAsia="仿宋_GB2312" w:cs="仿宋_GB2312"/>
          <w:i w:val="0"/>
          <w:iCs w:val="0"/>
          <w:highlight w:val="none"/>
        </w:rPr>
      </w:pPr>
      <w:r>
        <w:rPr>
          <w:rFonts w:ascii="仿宋_GB2312" w:hAnsi="仿宋_GB2312" w:eastAsia="仿宋_GB2312" w:cs="仿宋_GB2312"/>
          <w:i w:val="0"/>
          <w:iCs w:val="0"/>
          <w:highlight w:val="none"/>
        </w:rPr>
        <w:t>3.3采购产品详细清单及技术指标</w:t>
      </w:r>
    </w:p>
    <w:p>
      <w:pPr>
        <w:pStyle w:val="34"/>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lang w:val="en-US" w:eastAsia="en-US"/>
        </w:rPr>
      </w:pPr>
      <w:r>
        <w:rPr>
          <w:rFonts w:ascii="仿宋_GB2312" w:hAnsi="仿宋_GB2312" w:eastAsia="仿宋_GB2312" w:cs="仿宋_GB2312"/>
          <w:kern w:val="0"/>
          <w:sz w:val="32"/>
          <w:szCs w:val="32"/>
          <w:highlight w:val="none"/>
          <w:lang w:val="en-US" w:eastAsia="en-US" w:bidi="ar-SA"/>
        </w:rPr>
        <w:t>采购文件（技术部分）中有标注★号的，为必备服务要求，必须满足，如未作出响应，将导致响应无效；#为重要服务内容、△为一般服务内容。</w:t>
      </w:r>
    </w:p>
    <w:tbl>
      <w:tblPr>
        <w:tblStyle w:val="7"/>
        <w:tblpPr w:leftFromText="180" w:rightFromText="180" w:vertAnchor="text" w:horzAnchor="page" w:tblpX="1682" w:tblpY="2098"/>
        <w:tblOverlap w:val="never"/>
        <w:tblW w:w="5129" w:type="pct"/>
        <w:tblInd w:w="0" w:type="dxa"/>
        <w:tblLayout w:type="fixed"/>
        <w:tblCellMar>
          <w:top w:w="15" w:type="dxa"/>
          <w:left w:w="15" w:type="dxa"/>
          <w:bottom w:w="15" w:type="dxa"/>
          <w:right w:w="15" w:type="dxa"/>
        </w:tblCellMar>
      </w:tblPr>
      <w:tblGrid>
        <w:gridCol w:w="425"/>
        <w:gridCol w:w="1033"/>
        <w:gridCol w:w="1065"/>
        <w:gridCol w:w="3697"/>
        <w:gridCol w:w="871"/>
        <w:gridCol w:w="1475"/>
      </w:tblGrid>
      <w:tr>
        <w:tblPrEx>
          <w:tblCellMar>
            <w:top w:w="15" w:type="dxa"/>
            <w:left w:w="15" w:type="dxa"/>
            <w:bottom w:w="15" w:type="dxa"/>
            <w:right w:w="15" w:type="dxa"/>
          </w:tblCellMar>
        </w:tblPrEx>
        <w:trPr>
          <w:trHeight w:val="830" w:hRule="atLeast"/>
        </w:trPr>
        <w:tc>
          <w:tcPr>
            <w:tcW w:w="425"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序号</w:t>
            </w:r>
          </w:p>
        </w:tc>
        <w:tc>
          <w:tcPr>
            <w:tcW w:w="1033"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指标种类</w:t>
            </w:r>
          </w:p>
        </w:tc>
        <w:tc>
          <w:tcPr>
            <w:tcW w:w="1065"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指标名称</w:t>
            </w:r>
          </w:p>
        </w:tc>
        <w:tc>
          <w:tcPr>
            <w:tcW w:w="3697"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指标内容</w:t>
            </w:r>
          </w:p>
        </w:tc>
        <w:tc>
          <w:tcPr>
            <w:tcW w:w="871"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重要性</w:t>
            </w:r>
          </w:p>
        </w:tc>
        <w:tc>
          <w:tcPr>
            <w:tcW w:w="1475" w:type="dxa"/>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是否需要证明材料</w:t>
            </w:r>
          </w:p>
        </w:tc>
      </w:tr>
      <w:tr>
        <w:tblPrEx>
          <w:tblCellMar>
            <w:top w:w="15" w:type="dxa"/>
            <w:left w:w="15" w:type="dxa"/>
            <w:bottom w:w="15" w:type="dxa"/>
            <w:right w:w="15" w:type="dxa"/>
          </w:tblCellMar>
        </w:tblPrEx>
        <w:trPr>
          <w:trHeight w:val="1231" w:hRule="atLeast"/>
        </w:trPr>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总体质量要求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（1）肉类的理化指标及卫生标准符合国家或采购人所在地区最新标准执行。</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2</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总体质量要求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（2）对于没有国家标准的应符合行业标准或企业标准，其中国家有强制性技术标准要求的产品，还应符合国家强制性技术标准，确保配送的货物安全、卫生。</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3</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总体质量要求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（3）肉类供应商供应的动物类食品必须经过检验检疫，供货时一并提交出厂合格证复印件，必要时应按采购人要求提供生产厂家的卫生许可证。</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4</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总体质量要求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（4）所供生鲜肉确保为出厂后48小时内；冻肉确保为出厂后3个月内。</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5</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总体质量要求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（5）保证所供肉类渠道来源正规可溯，参考正规市场品质及来源。</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6</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通用质量要求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鲜肉品须表皮洁净、膘厚适中、色泽鲜亮、脂肪洁白；纹理清晰、肉质细腻、无异味、去骨、无毛；按压无水迹，肉质有弹性，放手后指压的凹陷立即恢复，不粘手；外表微干或微湿润，脂肪团聚于表面为白色或乳白色，整体色泽光润；切面红色、微微湿润但不粘手；无淤血，无注水，无寄生虫。</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7</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通用质量要求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（2）冻品外包装需密封、完整，无破损，商品合格证齐全。冻品在解冻后，发现质量问题承诺退货。</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rPr>
          <w:trHeight w:val="3184" w:hRule="atLeast"/>
        </w:trPr>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8</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鲜猪肉通用质量要求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猪主要部位肉符合GB/T 9959.1和GB/T9959.3等规定。包括去骨前腿肉、去骨后腿肉、带骨方肉和去骨方肉，均要求一级。肌肉颜色为鲜红色，脂肪颜色为白色。肥膘厚度1.0～2.5cm，质地呈现肉色红、光亮、致密，没有霜降或异味。</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9</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五花肉质量要求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一级五花肉，肥膘厚度≤2.0cm，肥瘦相间，肉质细腻，三层见花。</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10</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肋排质量要求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肋排去剔前排后11-13根肋骨，整块重量1.2KG-1.8KG，纹理清晰，边缘整齐。</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11</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猪脏器及副产品质量要求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心肝、腰子类：品质新鲜、外形完整、无异味、无病变、无凝血块、无血污、泥污、颜色正常。</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肚：品质新鲜、外形完整、无溃疡面及其他病变现象、无内容物、无粘膜、无边油。</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大肠、肥肠类：品质新鲜、无破损、无病变组织、无肠头细毛、无内容物、去净粘膜。</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舌：品质新鲜、外形完整、无病变、无异物、无舌苔、附肉少、无血污、泥污。</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耳：品质新鲜、外形完整、无溃烂、病斑、无破损。</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蹄爪类：品质新鲜、去蹄壳、不带蹄筋、刮除粗毛、细毛及趾间黑垢、无松香残留。</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蹄筋类：品质新鲜、无色透明、表面光亮、无油脂、无精肉、无充血现象、顺直、干燥。</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猪心：淡红色，脂肪乳白色稍红色，结实，有弹性，外形完整，心房内无瘀血，无凝血块，无病变，气味正常。</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猪肝：红褐色或棕黄色，有光泽，湿润，略有弹性，组织结实微密，肝叶完整，无脂肪，胆囊、粗输、胆管、无寄生虫、炎症水泡、薄膜，无胆汁污染，微有</w:t>
            </w:r>
            <w:r>
              <w:rPr>
                <w:rFonts w:hint="eastAsia" w:ascii="仿宋_GB2312" w:hAnsi="仿宋_GB2312" w:eastAsia="仿宋_GB2312" w:cs="仿宋_GB2312"/>
                <w:b w:val="0"/>
                <w:bCs w:val="0"/>
                <w:i w:val="0"/>
                <w:iCs w:val="0"/>
                <w:smallCaps w:val="0"/>
                <w:color w:val="000000"/>
                <w:sz w:val="21"/>
                <w:szCs w:val="21"/>
                <w:highlight w:val="none"/>
                <w:lang w:eastAsia="zh-CN"/>
              </w:rPr>
              <w:t>血腥味</w:t>
            </w:r>
            <w:r>
              <w:rPr>
                <w:rFonts w:hint="eastAsia" w:ascii="仿宋_GB2312" w:hAnsi="仿宋_GB2312" w:eastAsia="仿宋_GB2312" w:cs="仿宋_GB2312"/>
                <w:b w:val="0"/>
                <w:bCs w:val="0"/>
                <w:i w:val="0"/>
                <w:iCs w:val="0"/>
                <w:smallCaps w:val="0"/>
                <w:color w:val="000000"/>
                <w:sz w:val="21"/>
                <w:szCs w:val="21"/>
                <w:highlight w:val="none"/>
              </w:rPr>
              <w:t>。</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猪口条：品质新鲜，外形完整，无根附着的肌肉、舌骨、舌苔、脂肪、无病伤，无异物。</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猪尾：品质新鲜，去毛洁净，不带毛根或绒毛。</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12</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鲜牛肉通用质量要求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精修牛肉，颜色呈正常鲜红状，脂肪微黄，表面有光泽有正常油脂分泌，触摸略感粘稠，按压有弹性，无发酸发臭气味，无腐坏变色现象，挤压无水溢出。</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13</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牛柳（牛里脊肉）质量要求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精修牛里脊，圆形长条，形如黄瓜，肉质非常细嫩。</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14</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牛腩质量要求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精修牛腩肉，牛腹部及靠近牛肋处的松软肌肉，带有筋、肉、油花的肉块。</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15</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鲜羊肉质量要求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精修羊肉，肌肉红色均匀，有光泽，脂肪洁白。外表微干或有风干膜，触摸不粘手。弹性好，指压后凹陷立即恢复。具有鲜羊肉正常气味，无泥污，血污，肉边整齐，无碎肉，碎骨，按标准部位分割，无多余脂肪及血管。</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16</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冻畜肉质量要求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色泽：颜色比冷却肉鲜明，在表面切开处为浅玫瑰色至灰色，用手或热刀触之，立显示鲜红色。脂肪猪、羊为白色，牛为淡黄色。肌腱为白色，石灰色。</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外表：无杂质，无肌肉风干现象，无白、黄、绿斑、紫斑、污血、过多冰衣无白霜、</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气味：化冻时，有肉的正常味，略潮，没有熟肉味。</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包装：按标准部位分割外包装无破损有生产日期。</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17</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鲜鸡（鸭、鹅）类质量要求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眼球：无干缩凹陷或晶体状浑浊现象。</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外表：具有其固有表皮颜色、肌肉切面有光泽、无绿、紫等异常颜色、无残羽（其在脖、翅等处无较长细毛）、无破损、无残缺、新切面不发粘。</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气味：具有其固有气味、无异味。</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弹性：指压后凹陷、能恢复。</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18</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鲜鸡类各部件质量要求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鸡爪：品质新鲜、呈白色或灰白色、无黄皮趾壳、无血污、血水、无残缺、脚趾根上无黑斑、允许有少量红斑。</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鸡翅：品质新鲜、无残羽、无黄衣、无伤斑及溃烂、无血水血污、允许有少数斑、允许剪修但最大范围不超转弯关节处。</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鸡腿：无残羽、无血水、血污、品质新鲜、无残骨无伤斑及溃烂、炎症、允许有少数红斑、外形美观。</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鸡胸肉：品质新鲜、无残羽、无血水、血污、无残骨、无伤斑、溃烂、炎症，允许有少数红斑。</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鸡肝：品质新鲜、外形完整、去胆、无寄生虫、炎症、水泡，无胆汁污染无血渍。</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鸡胗：品质新鲜、外形完整无内容物、鸡内金、腺胃、肠管及脂肪，无出血、瘀血、病变。</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鸡心：品质新鲜、褐红色，脂肪稍红，组织结实，有弹性，心房内无瘀血、病变，气味正常。</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鸡脖：品质新鲜、去劲部皮、无羽毛、无血污。</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鸡头：品质新鲜、外形完整、无伤斑、无溃烂、无血污。</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蹄筋：品质新鲜，无色透明，表面光亮，无油脂，无精肉，无充血现顺直、干燥。</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19</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禽肉(冻)</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色泽：外观滋润，呈乳白或微黄色。</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外表：基本无血脉、风干现象，无白、黄绿、紫斑、无冰衣，解冻后与鲜禽特征相同。</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气味：无腐臭气味</w:t>
            </w:r>
            <w:r>
              <w:rPr>
                <w:rFonts w:hint="eastAsia"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rPr>
              <w:t>包装：分割部件应符合标准，外包装完好、商标规格、产品说明清晰完整。</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20</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特殊准入认证要求</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对实行食品质量（SC）安全市场准入制的食品，须在验收时提供 SC 认证的相关证明资料。</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4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21</w:t>
            </w:r>
          </w:p>
        </w:tc>
        <w:tc>
          <w:tcPr>
            <w:tcW w:w="103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质量指标</w:t>
            </w:r>
          </w:p>
        </w:tc>
        <w:tc>
          <w:tcPr>
            <w:tcW w:w="10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其他食材质量标准</w:t>
            </w:r>
          </w:p>
        </w:tc>
        <w:tc>
          <w:tcPr>
            <w:tcW w:w="3697"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以上未详细列明的商品须符合国家食品安全卫生相关质量标准。</w:t>
            </w:r>
          </w:p>
        </w:tc>
        <w:tc>
          <w:tcPr>
            <w:tcW w:w="87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b w:val="0"/>
                <w:bCs w:val="0"/>
                <w:i w:val="0"/>
                <w:iCs w:val="0"/>
                <w:smallCaps w:val="0"/>
                <w:color w:val="000000"/>
                <w:sz w:val="21"/>
                <w:szCs w:val="21"/>
                <w:highlight w:val="none"/>
              </w:rPr>
              <w:t>△</w:t>
            </w:r>
          </w:p>
        </w:tc>
        <w:tc>
          <w:tcPr>
            <w:tcW w:w="14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eastAsia" w:ascii="仿宋_GB2312" w:hAnsi="仿宋_GB2312" w:eastAsia="仿宋_GB2312" w:cs="仿宋_GB2312"/>
                <w:b w:val="0"/>
                <w:bCs w:val="0"/>
                <w:i w:val="0"/>
                <w:iCs w:val="0"/>
                <w:smallCaps w:val="0"/>
                <w:color w:val="000000"/>
                <w:sz w:val="21"/>
                <w:szCs w:val="21"/>
                <w:highlight w:val="none"/>
              </w:rPr>
            </w:pPr>
            <w:r>
              <w:rPr>
                <w:rFonts w:hint="eastAsia" w:ascii="仿宋_GB2312" w:hAnsi="仿宋_GB2312" w:eastAsia="仿宋_GB2312" w:cs="仿宋_GB2312"/>
                <w:snapToGrid w:val="0"/>
                <w:color w:val="000000"/>
                <w:spacing w:val="-3"/>
                <w:kern w:val="0"/>
                <w:sz w:val="21"/>
                <w:szCs w:val="21"/>
                <w:highlight w:val="none"/>
                <w:lang w:eastAsia="zh-CN"/>
              </w:rPr>
              <w:t>是，</w:t>
            </w:r>
            <w:r>
              <w:rPr>
                <w:rFonts w:hint="eastAsia" w:ascii="仿宋_GB2312" w:hAnsi="仿宋_GB2312" w:eastAsia="仿宋_GB2312" w:cs="仿宋_GB2312"/>
                <w:snapToGrid w:val="0"/>
                <w:color w:val="000000"/>
                <w:spacing w:val="7"/>
                <w:kern w:val="0"/>
                <w:sz w:val="21"/>
                <w:szCs w:val="21"/>
                <w:highlight w:val="none"/>
                <w:lang w:eastAsia="zh-CN"/>
              </w:rPr>
              <w:t>提供承诺函，格式自拟并加盖公章。</w:t>
            </w:r>
          </w:p>
        </w:tc>
      </w:tr>
    </w:tbl>
    <w:p>
      <w:pPr>
        <w:pStyle w:val="34"/>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ascii="仿宋_GB2312" w:hAnsi="仿宋_GB2312" w:eastAsia="仿宋_GB2312" w:cs="仿宋_GB2312"/>
          <w:kern w:val="0"/>
          <w:sz w:val="32"/>
          <w:szCs w:val="32"/>
          <w:highlight w:val="none"/>
          <w:lang w:val="en-US" w:eastAsia="en-US" w:bidi="ar-SA"/>
        </w:rPr>
      </w:pPr>
    </w:p>
    <w:p>
      <w:pPr>
        <w:pStyle w:val="34"/>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ascii="仿宋_GB2312" w:hAnsi="仿宋_GB2312" w:eastAsia="仿宋_GB2312" w:cs="仿宋_GB2312"/>
          <w:kern w:val="0"/>
          <w:sz w:val="32"/>
          <w:szCs w:val="32"/>
          <w:highlight w:val="none"/>
          <w:lang w:val="en-US" w:eastAsia="en-US" w:bidi="ar-SA"/>
        </w:rPr>
      </w:pPr>
    </w:p>
    <w:p>
      <w:pPr>
        <w:pStyle w:val="29"/>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3.4服务要求</w:t>
      </w:r>
    </w:p>
    <w:tbl>
      <w:tblPr>
        <w:tblStyle w:val="7"/>
        <w:tblW w:w="5097" w:type="pct"/>
        <w:tblInd w:w="-136" w:type="dxa"/>
        <w:tblLayout w:type="autofit"/>
        <w:tblCellMar>
          <w:top w:w="15" w:type="dxa"/>
          <w:left w:w="15" w:type="dxa"/>
          <w:bottom w:w="15" w:type="dxa"/>
          <w:right w:w="15" w:type="dxa"/>
        </w:tblCellMar>
      </w:tblPr>
      <w:tblGrid>
        <w:gridCol w:w="450"/>
        <w:gridCol w:w="1010"/>
        <w:gridCol w:w="1634"/>
        <w:gridCol w:w="3156"/>
        <w:gridCol w:w="898"/>
        <w:gridCol w:w="1364"/>
      </w:tblGrid>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序号</w:t>
            </w:r>
          </w:p>
        </w:tc>
        <w:tc>
          <w:tcPr>
            <w:tcW w:w="593"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指标种类</w:t>
            </w:r>
          </w:p>
        </w:tc>
        <w:tc>
          <w:tcPr>
            <w:tcW w:w="959"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指标名称</w:t>
            </w:r>
          </w:p>
        </w:tc>
        <w:tc>
          <w:tcPr>
            <w:tcW w:w="1853"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指标内容</w:t>
            </w:r>
          </w:p>
        </w:tc>
        <w:tc>
          <w:tcPr>
            <w:tcW w:w="527"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重要性</w:t>
            </w:r>
          </w:p>
        </w:tc>
        <w:tc>
          <w:tcPr>
            <w:tcW w:w="801"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是否需要证明材料</w:t>
            </w:r>
          </w:p>
        </w:tc>
      </w:tr>
      <w:tr>
        <w:tblPrEx>
          <w:tblCellMar>
            <w:top w:w="15" w:type="dxa"/>
            <w:left w:w="15" w:type="dxa"/>
            <w:bottom w:w="15" w:type="dxa"/>
            <w:right w:w="15" w:type="dxa"/>
          </w:tblCellMar>
        </w:tblPrEx>
        <w:trPr>
          <w:trHeight w:val="392" w:hRule="atLeast"/>
        </w:trPr>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硬件设施要求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仓储设施要求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投标人自有或租赁库房，能够满足按采购人需求完成配送任务，确保两个办公区同时送货。</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lang w:eastAsia="zh-CN"/>
              </w:rPr>
              <w:t>是，提供产权证明或租赁合同复印件并加盖公章。</w:t>
            </w:r>
          </w:p>
        </w:tc>
      </w:tr>
      <w:tr>
        <w:tblPrEx>
          <w:tblCellMar>
            <w:top w:w="15" w:type="dxa"/>
            <w:left w:w="15" w:type="dxa"/>
            <w:bottom w:w="15" w:type="dxa"/>
            <w:right w:w="15" w:type="dxa"/>
          </w:tblCellMar>
        </w:tblPrEx>
        <w:trPr>
          <w:trHeight w:val="1319" w:hRule="atLeast"/>
        </w:trPr>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2</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硬件设施要求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物流设施要求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投标人自有或租赁配送中心，能够满足按采购人需求完成配送任务，确保两个办公区同时送货。</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lang w:eastAsia="zh-CN"/>
              </w:rPr>
              <w:t>是，提供产权证明或租赁合同复印件并加盖公章。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3</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硬件设施要求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配送车辆要求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投标人应</w:t>
            </w:r>
            <w:r>
              <w:rPr>
                <w:rFonts w:hint="eastAsia" w:ascii="仿宋_GB2312" w:hAnsi="仿宋_GB2312" w:eastAsia="仿宋_GB2312" w:cs="仿宋_GB2312"/>
                <w:b w:val="0"/>
                <w:bCs w:val="0"/>
                <w:i w:val="0"/>
                <w:iCs w:val="0"/>
                <w:smallCaps w:val="0"/>
                <w:color w:val="000000"/>
                <w:sz w:val="21"/>
                <w:szCs w:val="21"/>
                <w:highlight w:val="none"/>
                <w:lang w:eastAsia="zh-CN"/>
              </w:rPr>
              <w:t>使用</w:t>
            </w:r>
            <w:r>
              <w:rPr>
                <w:rFonts w:hint="default" w:ascii="仿宋_GB2312" w:hAnsi="仿宋_GB2312" w:eastAsia="仿宋_GB2312" w:cs="仿宋_GB2312"/>
                <w:b w:val="0"/>
                <w:bCs w:val="0"/>
                <w:i w:val="0"/>
                <w:iCs w:val="0"/>
                <w:smallCaps w:val="0"/>
                <w:color w:val="000000"/>
                <w:sz w:val="21"/>
                <w:szCs w:val="21"/>
                <w:highlight w:val="none"/>
              </w:rPr>
              <w:t>自有或固定租赁2台以上冷藏车辆，确保24小时响应，按采购人需求完成配送任务，确保两个办公区同时送货。</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lang w:eastAsia="zh-CN"/>
              </w:rPr>
              <w:t>投标车辆应为营运车辆，由于本项目服务地点为北京，所提供车辆应符合北京限行管理规定。投标人须确保运输过程中驾驶员及车辆资质合法合规，因违法违规导致的罚款、停运等风险由投标人承担。</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autoSpaceDE w:val="0"/>
              <w:autoSpaceDN w:val="0"/>
              <w:adjustRightInd w:val="0"/>
              <w:snapToGrid w:val="0"/>
              <w:spacing w:before="0" w:beforeAutospacing="0" w:afterAutospacing="0" w:line="380" w:lineRule="exact"/>
              <w:ind w:left="0" w:right="0"/>
              <w:jc w:val="left"/>
              <w:textAlignment w:val="baseline"/>
              <w:rPr>
                <w:rFonts w:hint="default" w:ascii="仿宋_GB2312" w:hAnsi="仿宋_GB2312" w:eastAsia="仿宋_GB2312" w:cs="仿宋_GB2312"/>
                <w:b w:val="0"/>
                <w:bCs w:val="0"/>
                <w:i w:val="0"/>
                <w:iCs w:val="0"/>
                <w:smallCaps w:val="0"/>
                <w:color w:val="000000"/>
                <w:sz w:val="21"/>
                <w:szCs w:val="20"/>
                <w:highlight w:val="none"/>
              </w:rPr>
            </w:pPr>
            <w:r>
              <w:rPr>
                <w:rFonts w:hint="default" w:ascii="仿宋_GB2312" w:hAnsi="仿宋_GB2312" w:eastAsia="仿宋_GB2312" w:cs="仿宋_GB2312"/>
                <w:b w:val="0"/>
                <w:bCs w:val="0"/>
                <w:i w:val="0"/>
                <w:iCs w:val="0"/>
                <w:smallCaps w:val="0"/>
                <w:color w:val="000000"/>
                <w:kern w:val="2"/>
                <w:sz w:val="21"/>
                <w:szCs w:val="21"/>
                <w:highlight w:val="none"/>
                <w:lang w:val="en-US" w:eastAsia="zh-CN" w:bidi="ar-SA"/>
              </w:rPr>
              <w:t>是，自有车辆提供自有证明材料，租赁车辆提供租赁合同复印件证明</w:t>
            </w:r>
            <w:r>
              <w:rPr>
                <w:rFonts w:hint="default" w:ascii="仿宋_GB2312" w:hAnsi="仿宋_GB2312" w:eastAsia="仿宋_GB2312" w:cs="仿宋_GB2312"/>
                <w:b w:val="0"/>
                <w:bCs w:val="0"/>
                <w:i w:val="0"/>
                <w:iCs w:val="0"/>
                <w:smallCaps w:val="0"/>
                <w:color w:val="000000"/>
                <w:kern w:val="2"/>
                <w:sz w:val="21"/>
                <w:szCs w:val="21"/>
                <w:highlight w:val="none"/>
                <w:lang w:val="en-US" w:eastAsia="en-US" w:bidi="ar-SA"/>
              </w:rPr>
              <w:t>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4</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猪肉供应链能力要求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具有自有、签约的猪肉屠宰、加工厂或者直销、代理、经销商资格之一。</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提供相应证明材料复印件</w:t>
            </w:r>
            <w:r>
              <w:rPr>
                <w:rFonts w:hint="default" w:ascii="仿宋_GB2312" w:hAnsi="宋体" w:eastAsia="仿宋_GB2312" w:cs="宋体"/>
                <w:snapToGrid w:val="0"/>
                <w:color w:val="000000"/>
                <w:spacing w:val="-3"/>
                <w:kern w:val="0"/>
                <w:sz w:val="24"/>
                <w:szCs w:val="24"/>
                <w:highlight w:val="none"/>
                <w:lang w:eastAsia="en-US"/>
              </w:rPr>
              <w:t>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5</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牛肉供应链能力要求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具有自有、签约的牛肉屠宰、加工厂或者直销、代理、经销商资格之一。</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提供相应证明材料复印件</w:t>
            </w:r>
            <w:r>
              <w:rPr>
                <w:rFonts w:hint="default" w:ascii="仿宋_GB2312" w:hAnsi="宋体" w:eastAsia="仿宋_GB2312" w:cs="宋体"/>
                <w:snapToGrid w:val="0"/>
                <w:color w:val="000000"/>
                <w:spacing w:val="-3"/>
                <w:kern w:val="0"/>
                <w:sz w:val="24"/>
                <w:szCs w:val="24"/>
                <w:highlight w:val="none"/>
                <w:lang w:eastAsia="en-US"/>
              </w:rPr>
              <w:t>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6</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羊肉供应链能力要求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具有自有、签约的羊肉屠宰、加工厂或者直销、代理、经销商资格之一。</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提供相应证明材料复印件</w:t>
            </w:r>
            <w:r>
              <w:rPr>
                <w:rFonts w:hint="default" w:ascii="仿宋_GB2312" w:hAnsi="宋体" w:eastAsia="仿宋_GB2312" w:cs="宋体"/>
                <w:snapToGrid w:val="0"/>
                <w:color w:val="000000"/>
                <w:spacing w:val="-3"/>
                <w:kern w:val="0"/>
                <w:sz w:val="24"/>
                <w:szCs w:val="24"/>
                <w:highlight w:val="none"/>
                <w:lang w:eastAsia="en-US"/>
              </w:rPr>
              <w:t>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7</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禽肉供应链能力要求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具有自有、签约的禽肉屠宰、加工厂或者直销、代理、经销商资格之一。</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提供相应证明材料复印件</w:t>
            </w:r>
            <w:r>
              <w:rPr>
                <w:rFonts w:hint="default" w:ascii="仿宋_GB2312" w:hAnsi="宋体" w:eastAsia="仿宋_GB2312" w:cs="宋体"/>
                <w:snapToGrid w:val="0"/>
                <w:color w:val="000000"/>
                <w:spacing w:val="-3"/>
                <w:kern w:val="0"/>
                <w:sz w:val="24"/>
                <w:szCs w:val="24"/>
                <w:highlight w:val="none"/>
                <w:lang w:eastAsia="en-US"/>
              </w:rPr>
              <w:t>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8</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采购能力要求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202</w:t>
            </w:r>
            <w:r>
              <w:rPr>
                <w:rFonts w:hint="eastAsia" w:ascii="仿宋_GB2312" w:hAnsi="仿宋_GB2312" w:eastAsia="仿宋_GB2312" w:cs="仿宋_GB2312"/>
                <w:b w:val="0"/>
                <w:bCs w:val="0"/>
                <w:i w:val="0"/>
                <w:iCs w:val="0"/>
                <w:smallCaps w:val="0"/>
                <w:color w:val="000000"/>
                <w:sz w:val="21"/>
                <w:szCs w:val="21"/>
                <w:highlight w:val="none"/>
                <w:lang w:val="en-US" w:eastAsia="zh-CN"/>
              </w:rPr>
              <w:t>5</w:t>
            </w:r>
            <w:r>
              <w:rPr>
                <w:rFonts w:hint="default" w:ascii="仿宋_GB2312" w:hAnsi="仿宋_GB2312" w:eastAsia="仿宋_GB2312" w:cs="仿宋_GB2312"/>
                <w:b w:val="0"/>
                <w:bCs w:val="0"/>
                <w:i w:val="0"/>
                <w:iCs w:val="0"/>
                <w:smallCaps w:val="0"/>
                <w:color w:val="000000"/>
                <w:sz w:val="21"/>
                <w:szCs w:val="21"/>
                <w:highlight w:val="none"/>
              </w:rPr>
              <w:t>年 1月1日以来具有鲜冻禽畜肉类食材（含本包拟配送食材）的进货内容。</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提供202</w:t>
            </w:r>
            <w:r>
              <w:rPr>
                <w:rFonts w:hint="eastAsia" w:ascii="仿宋_GB2312" w:hAnsi="仿宋_GB2312" w:eastAsia="仿宋_GB2312" w:cs="仿宋_GB2312"/>
                <w:b w:val="0"/>
                <w:bCs w:val="0"/>
                <w:i w:val="0"/>
                <w:iCs w:val="0"/>
                <w:smallCaps w:val="0"/>
                <w:color w:val="000000"/>
                <w:sz w:val="21"/>
                <w:szCs w:val="21"/>
                <w:highlight w:val="none"/>
                <w:lang w:val="en-US" w:eastAsia="zh-CN"/>
              </w:rPr>
              <w:t>5</w:t>
            </w:r>
            <w:r>
              <w:rPr>
                <w:rFonts w:hint="default" w:ascii="仿宋_GB2312" w:hAnsi="仿宋_GB2312" w:eastAsia="仿宋_GB2312" w:cs="仿宋_GB2312"/>
                <w:b w:val="0"/>
                <w:bCs w:val="0"/>
                <w:i w:val="0"/>
                <w:iCs w:val="0"/>
                <w:smallCaps w:val="0"/>
                <w:color w:val="000000"/>
                <w:sz w:val="21"/>
                <w:szCs w:val="21"/>
                <w:highlight w:val="none"/>
              </w:rPr>
              <w:t>年 1月1日以来的从上游供货商进货单或双方的合作协议或交易发票</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宋体" w:eastAsia="仿宋_GB2312" w:cs="宋体"/>
                <w:snapToGrid w:val="0"/>
                <w:color w:val="000000"/>
                <w:spacing w:val="-3"/>
                <w:kern w:val="0"/>
                <w:sz w:val="24"/>
                <w:szCs w:val="24"/>
                <w:highlight w:val="none"/>
                <w:lang w:eastAsia="en-US"/>
              </w:rPr>
              <w:t>并加盖公章</w:t>
            </w:r>
            <w:r>
              <w:rPr>
                <w:rFonts w:hint="eastAsia" w:ascii="仿宋_GB2312" w:hAnsi="宋体" w:eastAsia="仿宋_GB2312" w:cs="宋体"/>
                <w:snapToGrid w:val="0"/>
                <w:color w:val="000000"/>
                <w:spacing w:val="-3"/>
                <w:kern w:val="0"/>
                <w:sz w:val="24"/>
                <w:szCs w:val="24"/>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合作协议或交易发票中应体现投标人名称。</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9</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简易加工能力要求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能够完成本合同采购鲜冻禽畜肉的简易加工，如切丝、丁、块、片等。</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eastAsia" w:ascii="仿宋_GB2312" w:hAnsi="宋体" w:eastAsia="仿宋_GB2312" w:cs="宋体"/>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10</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运输卫生要求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整个运输过程应采用符合卫生要求的外包装和运载工具，对运输工具做到每日清洗消毒，车厢内无不良气味、异味，确保运输过程安全卫生。冷冻制品、冷冻家禽、鲜猪肉、等冷链食品必须使用符合规范标准的冷藏车进行运输。</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kern w:val="2"/>
                <w:sz w:val="21"/>
                <w:szCs w:val="21"/>
                <w:highlight w:val="none"/>
                <w:lang w:val="en-US" w:eastAsia="zh-CN" w:bidi="ar-SA"/>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eastAsia" w:ascii="仿宋_GB2312" w:hAnsi="宋体" w:eastAsia="仿宋_GB2312" w:cs="宋体"/>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11</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运输工具管理要求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投标人运输工具进入采购人管理范围，必须接受采购人统一管理，发生任何人员与设施损伤，均由投标人承担责任。</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kern w:val="2"/>
                <w:sz w:val="21"/>
                <w:szCs w:val="21"/>
                <w:highlight w:val="none"/>
                <w:lang w:val="en-US" w:eastAsia="zh-CN" w:bidi="ar-SA"/>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eastAsia" w:ascii="仿宋_GB2312" w:hAnsi="宋体" w:eastAsia="仿宋_GB2312" w:cs="宋体"/>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12</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安全完整包装要求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包装产品交付时，必须保证原包装完好无损。不得使用有色、有毒塑料制品包装食材，否则采购人有权拒收。</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kern w:val="2"/>
                <w:sz w:val="21"/>
                <w:szCs w:val="21"/>
                <w:highlight w:val="none"/>
                <w:lang w:val="en-US" w:eastAsia="zh-CN" w:bidi="ar-SA"/>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eastAsia" w:ascii="仿宋_GB2312" w:hAnsi="宋体" w:eastAsia="仿宋_GB2312" w:cs="宋体"/>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rPr>
          <w:trHeight w:val="3086" w:hRule="atLeast"/>
        </w:trPr>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13</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一般配送要求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snapToGrid w:val="0"/>
                <w:color w:val="auto"/>
                <w:kern w:val="0"/>
                <w:sz w:val="21"/>
                <w:szCs w:val="21"/>
                <w:highlight w:val="none"/>
                <w:lang w:eastAsia="en-US"/>
              </w:rPr>
              <w:t>采购人按日向投标人发布下一日采购内容和送货日期，原则上每周配送6次，分别为周一至周五、周日，因季节、天气等特殊情况需调整配送频次时以采购人发布信息为准。</w:t>
            </w:r>
            <w:r>
              <w:rPr>
                <w:rFonts w:hint="default" w:ascii="仿宋_GB2312" w:hAnsi="仿宋_GB2312" w:eastAsia="仿宋_GB2312" w:cs="仿宋_GB2312"/>
                <w:b w:val="0"/>
                <w:bCs w:val="0"/>
                <w:i w:val="0"/>
                <w:iCs w:val="0"/>
                <w:smallCaps w:val="0"/>
                <w:snapToGrid w:val="0"/>
                <w:color w:val="auto"/>
                <w:kern w:val="0"/>
                <w:sz w:val="21"/>
                <w:szCs w:val="21"/>
                <w:highlight w:val="none"/>
                <w:lang w:eastAsia="zh-CN"/>
              </w:rPr>
              <w:t>投标人</w:t>
            </w:r>
            <w:r>
              <w:rPr>
                <w:rFonts w:hint="eastAsia" w:ascii="仿宋_GB2312" w:hAnsi="仿宋_GB2312" w:eastAsia="仿宋_GB2312" w:cs="仿宋_GB2312"/>
                <w:b w:val="0"/>
                <w:bCs w:val="0"/>
                <w:i w:val="0"/>
                <w:iCs w:val="0"/>
                <w:smallCaps w:val="0"/>
                <w:snapToGrid w:val="0"/>
                <w:color w:val="auto"/>
                <w:kern w:val="0"/>
                <w:sz w:val="21"/>
                <w:szCs w:val="21"/>
                <w:highlight w:val="none"/>
                <w:lang w:eastAsia="zh-CN"/>
              </w:rPr>
              <w:t>在收到采购内容后，应于</w:t>
            </w:r>
            <w:r>
              <w:rPr>
                <w:rFonts w:hint="default" w:ascii="仿宋_GB2312" w:hAnsi="仿宋_GB2312" w:eastAsia="仿宋_GB2312" w:cs="仿宋_GB2312"/>
                <w:b w:val="0"/>
                <w:bCs w:val="0"/>
                <w:i w:val="0"/>
                <w:iCs w:val="0"/>
                <w:smallCaps w:val="0"/>
                <w:snapToGrid w:val="0"/>
                <w:color w:val="auto"/>
                <w:kern w:val="0"/>
                <w:sz w:val="21"/>
                <w:szCs w:val="21"/>
                <w:highlight w:val="none"/>
                <w:lang w:eastAsia="zh-CN"/>
              </w:rPr>
              <w:t>次日</w:t>
            </w:r>
            <w:r>
              <w:rPr>
                <w:rFonts w:hint="eastAsia" w:ascii="仿宋_GB2312" w:hAnsi="仿宋_GB2312" w:eastAsia="仿宋_GB2312" w:cs="仿宋_GB2312"/>
                <w:b w:val="0"/>
                <w:bCs w:val="0"/>
                <w:i w:val="0"/>
                <w:iCs w:val="0"/>
                <w:smallCaps w:val="0"/>
                <w:snapToGrid w:val="0"/>
                <w:color w:val="auto"/>
                <w:kern w:val="0"/>
                <w:sz w:val="21"/>
                <w:szCs w:val="21"/>
                <w:highlight w:val="none"/>
                <w:lang w:eastAsia="zh-CN"/>
              </w:rPr>
              <w:t>上午</w:t>
            </w:r>
            <w:r>
              <w:rPr>
                <w:rFonts w:hint="eastAsia" w:ascii="仿宋_GB2312" w:hAnsi="仿宋_GB2312" w:eastAsia="仿宋_GB2312" w:cs="仿宋_GB2312"/>
                <w:b w:val="0"/>
                <w:bCs w:val="0"/>
                <w:i w:val="0"/>
                <w:iCs w:val="0"/>
                <w:smallCaps w:val="0"/>
                <w:snapToGrid w:val="0"/>
                <w:color w:val="auto"/>
                <w:kern w:val="0"/>
                <w:sz w:val="21"/>
                <w:szCs w:val="21"/>
                <w:highlight w:val="none"/>
                <w:lang w:val="en-US" w:eastAsia="zh-CN"/>
              </w:rPr>
              <w:t>6</w:t>
            </w:r>
            <w:r>
              <w:rPr>
                <w:rFonts w:hint="default" w:ascii="仿宋_GB2312" w:hAnsi="仿宋_GB2312" w:eastAsia="仿宋_GB2312" w:cs="仿宋_GB2312"/>
                <w:b w:val="0"/>
                <w:bCs w:val="0"/>
                <w:i w:val="0"/>
                <w:iCs w:val="0"/>
                <w:smallCaps w:val="0"/>
                <w:snapToGrid w:val="0"/>
                <w:color w:val="auto"/>
                <w:kern w:val="0"/>
                <w:sz w:val="21"/>
                <w:szCs w:val="21"/>
                <w:highlight w:val="none"/>
                <w:lang w:eastAsia="zh-CN"/>
              </w:rPr>
              <w:t>点前配送至采购人指定验收地点。</w:t>
            </w:r>
            <w:r>
              <w:rPr>
                <w:rFonts w:hint="eastAsia" w:ascii="仿宋_GB2312" w:hAnsi="仿宋_GB2312" w:eastAsia="仿宋_GB2312" w:cs="仿宋_GB2312"/>
                <w:b w:val="0"/>
                <w:bCs w:val="0"/>
                <w:i w:val="0"/>
                <w:iCs w:val="0"/>
                <w:smallCaps w:val="0"/>
                <w:snapToGrid w:val="0"/>
                <w:color w:val="auto"/>
                <w:kern w:val="0"/>
                <w:sz w:val="21"/>
                <w:szCs w:val="21"/>
                <w:highlight w:val="none"/>
                <w:lang w:eastAsia="zh-CN"/>
              </w:rPr>
              <w:t>配送司机人员变更需提前一天与采购人报备。</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eastAsia" w:ascii="仿宋_GB2312" w:hAnsi="宋体" w:eastAsia="仿宋_GB2312" w:cs="宋体"/>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14</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综合供应能力要求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应急配送要求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投标人应能按采购人要求及时补货，具备应急采购、储备、运输等能力，通讯工具24小时保持畅通，全天候备勤。在收到采购人布置的临时需求后 1 个小时内响应，2 个小时内完成配送</w:t>
            </w:r>
            <w:r>
              <w:rPr>
                <w:rFonts w:hint="eastAsia" w:ascii="仿宋_GB2312" w:hAnsi="仿宋_GB2312" w:eastAsia="仿宋_GB2312" w:cs="仿宋_GB2312"/>
                <w:b w:val="0"/>
                <w:bCs w:val="0"/>
                <w:i w:val="0"/>
                <w:iCs w:val="0"/>
                <w:smallCaps w:val="0"/>
                <w:color w:val="000000"/>
                <w:sz w:val="21"/>
                <w:szCs w:val="21"/>
                <w:highlight w:val="none"/>
                <w:lang w:eastAsia="zh-CN"/>
              </w:rPr>
              <w:t>，配送车辆应使用自有或租赁冷藏车辆配送并能保障食材品质要求，不允许货拉拉等无冷藏条件车辆进行应急配送</w:t>
            </w:r>
            <w:r>
              <w:rPr>
                <w:rFonts w:hint="default" w:ascii="仿宋_GB2312" w:hAnsi="仿宋_GB2312" w:eastAsia="仿宋_GB2312" w:cs="仿宋_GB2312"/>
                <w:b w:val="0"/>
                <w:bCs w:val="0"/>
                <w:i w:val="0"/>
                <w:iCs w:val="0"/>
                <w:smallCaps w:val="0"/>
                <w:color w:val="000000"/>
                <w:sz w:val="21"/>
                <w:szCs w:val="21"/>
                <w:highlight w:val="none"/>
              </w:rPr>
              <w:t>。</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eastAsia" w:ascii="仿宋_GB2312" w:hAnsi="宋体" w:eastAsia="仿宋_GB2312" w:cs="宋体"/>
                <w:snapToGrid w:val="0"/>
                <w:color w:val="000000"/>
                <w:spacing w:val="7"/>
                <w:kern w:val="0"/>
                <w:sz w:val="21"/>
                <w:szCs w:val="21"/>
                <w:highlight w:val="none"/>
                <w:lang w:eastAsia="zh-CN"/>
              </w:rPr>
              <w:t>提供承诺函，格式自拟并加盖公章。</w:t>
            </w:r>
          </w:p>
        </w:tc>
      </w:tr>
      <w:tr>
        <w:tblPrEx>
          <w:tblCellMar>
            <w:top w:w="15" w:type="dxa"/>
            <w:left w:w="15" w:type="dxa"/>
            <w:bottom w:w="15" w:type="dxa"/>
            <w:right w:w="15" w:type="dxa"/>
          </w:tblCellMar>
        </w:tblPrEx>
        <w:trPr>
          <w:trHeight w:val="1151" w:hRule="atLeast"/>
        </w:trPr>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15</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质量安全把控要求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质量检验场所要求</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投标人具有自有、租赁或固定合作质检实验室，能够用于检测鲜冻禽畜肉等相关货物。</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提供自有证明或租赁、合作合同复印件</w:t>
            </w:r>
            <w:r>
              <w:rPr>
                <w:rFonts w:hint="eastAsia" w:ascii="仿宋_GB2312" w:hAnsi="宋体" w:eastAsia="仿宋_GB2312" w:cs="宋体"/>
                <w:snapToGrid w:val="0"/>
                <w:color w:val="000000"/>
                <w:spacing w:val="7"/>
                <w:kern w:val="0"/>
                <w:sz w:val="21"/>
                <w:szCs w:val="21"/>
                <w:highlight w:val="none"/>
                <w:lang w:eastAsia="zh-CN"/>
              </w:rPr>
              <w:t>并加盖公章。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16</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质量安全把控要求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质量检验能力</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（1）能够检测肉制品中的食品添加剂包括防腐剂、抗氧化剂、甜味剂、着色剂、漂白剂、酸度调节剂。</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提供具备检验能力的承诺函，格式自拟，加盖公章。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17</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质量安全把控要求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质量检验能力</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（2）能够检测食材中的微生物，至少包括菌落总数和大肠菌群。</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提供具备检验能力的承诺函，格式自拟，加盖公章。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18</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质量安全把控要求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质量检验能力</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（3）能够检测食材中的重金属，至少包括铅（Pb）镉（Cd）汞（Hg）砷（As）铬（Cr）。</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提供具备检验能力的承诺函，格式自拟，加盖公章。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19</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质量安全把控要求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质量检验能力</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（4）能够检测食材中的农药（至少包含敌敌畏、六六六、滴滴涕）残留。</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kern w:val="2"/>
                <w:sz w:val="21"/>
                <w:szCs w:val="21"/>
                <w:highlight w:val="none"/>
                <w:lang w:val="en-US" w:eastAsia="zh-CN" w:bidi="ar-SA"/>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提供具备检验能力的承诺函，格式自拟，加盖公章。</w:t>
            </w:r>
          </w:p>
        </w:tc>
      </w:tr>
      <w:tr>
        <w:tblPrEx>
          <w:tblCellMar>
            <w:top w:w="15" w:type="dxa"/>
            <w:left w:w="15" w:type="dxa"/>
            <w:bottom w:w="15" w:type="dxa"/>
            <w:right w:w="15" w:type="dxa"/>
          </w:tblCellMar>
        </w:tblPrEx>
        <w:tc>
          <w:tcPr>
            <w:tcW w:w="264"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20</w:t>
            </w:r>
          </w:p>
        </w:tc>
        <w:tc>
          <w:tcPr>
            <w:tcW w:w="59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质量安全把控要求</w:t>
            </w:r>
          </w:p>
        </w:tc>
        <w:tc>
          <w:tcPr>
            <w:tcW w:w="95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质量检验能力</w:t>
            </w:r>
          </w:p>
        </w:tc>
        <w:tc>
          <w:tcPr>
            <w:tcW w:w="1853"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（5）能够检测鲜冻禽畜肉中的瘦肉精（克伦特罗、莱克多巴胺、沙丁胺醇）。</w:t>
            </w:r>
          </w:p>
        </w:tc>
        <w:tc>
          <w:tcPr>
            <w:tcW w:w="52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w:t>
            </w:r>
          </w:p>
        </w:tc>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rPr>
              <w:t>是</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t>提供具备检验能力的承诺函，格式自拟，加盖公章。</w:t>
            </w:r>
          </w:p>
        </w:tc>
      </w:tr>
    </w:tbl>
    <w:p>
      <w:pPr>
        <w:pStyle w:val="9"/>
        <w:rPr>
          <w:highlight w:val="none"/>
        </w:rPr>
      </w:pPr>
    </w:p>
    <w:p>
      <w:pPr>
        <w:keepNext w:val="0"/>
        <w:spacing w:before="0" w:after="0" w:line="360" w:lineRule="auto"/>
        <w:jc w:val="center"/>
        <w:outlineLvl w:val="0"/>
        <w:rPr>
          <w:rFonts w:ascii="仿宋_GB2312" w:hAnsi="仿宋_GB2312" w:eastAsia="仿宋_GB2312" w:cs="仿宋_GB2312"/>
          <w:b/>
          <w:bCs/>
          <w:color w:val="auto"/>
          <w:kern w:val="32"/>
          <w:sz w:val="32"/>
          <w:szCs w:val="32"/>
          <w:highlight w:val="none"/>
          <w:lang w:val="en-US" w:eastAsia="en-US" w:bidi="ar-SA"/>
        </w:rPr>
      </w:pPr>
      <w:bookmarkStart w:id="3" w:name="_Toc735"/>
      <w:bookmarkStart w:id="4" w:name="_Toc256000025"/>
      <w:r>
        <w:rPr>
          <w:rFonts w:ascii="仿宋_GB2312" w:hAnsi="仿宋_GB2312" w:eastAsia="仿宋_GB2312" w:cs="仿宋_GB2312"/>
          <w:b/>
          <w:bCs/>
          <w:color w:val="auto"/>
          <w:kern w:val="36"/>
          <w:sz w:val="32"/>
          <w:szCs w:val="32"/>
          <w:highlight w:val="none"/>
          <w:lang w:val="en-US" w:eastAsia="en-US" w:bidi="ar-SA"/>
        </w:rPr>
        <w:t>4人员要求</w:t>
      </w:r>
      <w:bookmarkEnd w:id="3"/>
      <w:bookmarkEnd w:id="4"/>
    </w:p>
    <w:p>
      <w:pPr>
        <w:keepNext w:val="0"/>
        <w:spacing w:before="0" w:after="0" w:line="360" w:lineRule="auto"/>
        <w:outlineLvl w:val="1"/>
        <w:rPr>
          <w:rFonts w:ascii="仿宋_GB2312" w:hAnsi="仿宋_GB2312" w:eastAsia="仿宋_GB2312" w:cs="仿宋_GB2312"/>
          <w:b/>
          <w:bCs/>
          <w:i/>
          <w:iCs/>
          <w:color w:val="auto"/>
          <w:sz w:val="28"/>
          <w:szCs w:val="28"/>
          <w:highlight w:val="none"/>
          <w:lang w:val="en-US" w:eastAsia="en-US" w:bidi="ar-SA"/>
        </w:rPr>
      </w:pPr>
      <w:bookmarkStart w:id="5" w:name="_Toc256000026"/>
      <w:r>
        <w:rPr>
          <w:rFonts w:ascii="仿宋_GB2312" w:hAnsi="仿宋_GB2312" w:eastAsia="仿宋_GB2312" w:cs="仿宋_GB2312"/>
          <w:b/>
          <w:bCs/>
          <w:i w:val="0"/>
          <w:iCs w:val="0"/>
          <w:color w:val="auto"/>
          <w:sz w:val="28"/>
          <w:szCs w:val="28"/>
          <w:highlight w:val="none"/>
          <w:lang w:val="en-US" w:eastAsia="en-US" w:bidi="ar-SA"/>
        </w:rPr>
        <w:t>4.1团队要求</w:t>
      </w:r>
      <w:bookmarkEnd w:id="5"/>
    </w:p>
    <w:p>
      <w:pPr>
        <w:keepNext w:val="0"/>
        <w:spacing w:before="0" w:after="0" w:line="360" w:lineRule="auto"/>
        <w:outlineLvl w:val="2"/>
        <w:rPr>
          <w:rFonts w:ascii="仿宋_GB2312" w:hAnsi="仿宋_GB2312" w:eastAsia="仿宋_GB2312" w:cs="仿宋_GB2312"/>
          <w:b/>
          <w:bCs/>
          <w:color w:val="auto"/>
          <w:sz w:val="28"/>
          <w:szCs w:val="28"/>
          <w:highlight w:val="none"/>
          <w:lang w:val="en-US" w:eastAsia="en-US" w:bidi="ar-SA"/>
        </w:rPr>
      </w:pPr>
      <w:bookmarkStart w:id="6" w:name="_Toc256000027"/>
      <w:r>
        <w:rPr>
          <w:rFonts w:ascii="仿宋_GB2312" w:hAnsi="仿宋_GB2312" w:eastAsia="仿宋_GB2312" w:cs="仿宋_GB2312"/>
          <w:b/>
          <w:bCs/>
          <w:color w:val="auto"/>
          <w:sz w:val="28"/>
          <w:szCs w:val="28"/>
          <w:highlight w:val="none"/>
          <w:lang w:val="en-US" w:eastAsia="en-US" w:bidi="ar-SA"/>
        </w:rPr>
        <w:t>4.1.1基本要求</w:t>
      </w:r>
      <w:bookmarkEnd w:id="6"/>
    </w:p>
    <w:p>
      <w:pPr>
        <w:pStyle w:val="15"/>
        <w:overflowPunct w:val="0"/>
        <w:adjustRightInd w:val="0"/>
        <w:snapToGrid w:val="0"/>
        <w:spacing w:after="0" w:line="560" w:lineRule="exact"/>
        <w:ind w:firstLine="640" w:firstLineChars="200"/>
        <w:rPr>
          <w:rFonts w:ascii="仿宋_GB2312" w:hAnsi="仿宋_GB2312" w:eastAsia="仿宋_GB2312" w:cs="仿宋_GB2312"/>
          <w:bCs/>
          <w:color w:val="000000"/>
          <w:kern w:val="0"/>
          <w:sz w:val="32"/>
          <w:szCs w:val="32"/>
          <w:highlight w:val="none"/>
          <w:lang w:bidi="ar"/>
        </w:rPr>
      </w:pPr>
      <w:r>
        <w:rPr>
          <w:rFonts w:hint="eastAsia" w:ascii="仿宋_GB2312" w:hAnsi="仿宋_GB2312" w:eastAsia="仿宋_GB2312" w:cs="仿宋_GB2312"/>
          <w:bCs/>
          <w:color w:val="000000"/>
          <w:kern w:val="0"/>
          <w:sz w:val="32"/>
          <w:szCs w:val="32"/>
          <w:highlight w:val="none"/>
          <w:lang w:bidi="ar"/>
        </w:rPr>
        <w:t>1.</w:t>
      </w:r>
      <w:r>
        <w:rPr>
          <w:rFonts w:ascii="仿宋_GB2312" w:hAnsi="仿宋_GB2312" w:eastAsia="仿宋_GB2312" w:cs="仿宋_GB2312"/>
          <w:sz w:val="32"/>
          <w:szCs w:val="32"/>
        </w:rPr>
        <w:t>投标人应提供专业的服务团队（包含管理和采购人员），团队编制和人员资质务必保证运营服务质量。</w:t>
      </w:r>
      <w:r>
        <w:rPr>
          <w:rFonts w:hint="eastAsia" w:ascii="仿宋_GB2312" w:hAnsi="仿宋_GB2312" w:eastAsia="仿宋_GB2312" w:cs="仿宋_GB2312"/>
          <w:bCs/>
          <w:color w:val="000000"/>
          <w:kern w:val="0"/>
          <w:sz w:val="32"/>
          <w:szCs w:val="32"/>
          <w:highlight w:val="none"/>
          <w:lang w:bidi="ar"/>
        </w:rPr>
        <w:t>提供的服务团队应保持稳定，承诺项目执行期间人员变动不超过</w:t>
      </w:r>
      <w:r>
        <w:rPr>
          <w:rFonts w:hint="eastAsia" w:ascii="仿宋_GB2312" w:hAnsi="仿宋_GB2312" w:eastAsia="仿宋_GB2312" w:cs="仿宋_GB2312"/>
          <w:bCs/>
          <w:color w:val="000000"/>
          <w:kern w:val="0"/>
          <w:sz w:val="32"/>
          <w:szCs w:val="32"/>
          <w:highlight w:val="none"/>
          <w:lang w:val="en-US" w:eastAsia="zh-CN" w:bidi="ar"/>
        </w:rPr>
        <w:t>2人</w:t>
      </w:r>
      <w:r>
        <w:rPr>
          <w:rFonts w:hint="eastAsia" w:ascii="仿宋_GB2312" w:hAnsi="仿宋_GB2312" w:eastAsia="仿宋_GB2312" w:cs="仿宋_GB2312"/>
          <w:bCs/>
          <w:color w:val="000000"/>
          <w:kern w:val="0"/>
          <w:sz w:val="32"/>
          <w:szCs w:val="32"/>
          <w:highlight w:val="none"/>
          <w:lang w:bidi="ar"/>
        </w:rPr>
        <w:t>。</w:t>
      </w:r>
    </w:p>
    <w:p>
      <w:pPr>
        <w:widowControl/>
        <w:autoSpaceDE w:val="0"/>
        <w:autoSpaceDN w:val="0"/>
        <w:adjustRightInd w:val="0"/>
        <w:snapToGrid w:val="0"/>
        <w:spacing w:line="560" w:lineRule="exact"/>
        <w:ind w:firstLine="640" w:firstLineChars="200"/>
        <w:textAlignment w:val="baseline"/>
        <w:rPr>
          <w:rFonts w:ascii="仿宋_GB2312" w:eastAsia="仿宋_GB2312"/>
          <w:snapToGrid w:val="0"/>
          <w:color w:val="000000"/>
          <w:kern w:val="0"/>
          <w:sz w:val="32"/>
          <w:szCs w:val="32"/>
          <w:highlight w:val="none"/>
        </w:rPr>
      </w:pPr>
      <w:r>
        <w:rPr>
          <w:rFonts w:hint="eastAsia" w:ascii="仿宋_GB2312" w:hAnsi="仿宋_GB2312" w:eastAsia="仿宋_GB2312" w:cs="仿宋_GB2312"/>
          <w:bCs/>
          <w:sz w:val="32"/>
          <w:szCs w:val="32"/>
          <w:highlight w:val="none"/>
        </w:rPr>
        <w:t>2</w:t>
      </w:r>
      <w:r>
        <w:rPr>
          <w:rFonts w:ascii="仿宋_GB2312" w:hAnsi="仿宋_GB2312" w:eastAsia="仿宋_GB2312" w:cs="仿宋_GB2312"/>
          <w:bCs/>
          <w:sz w:val="32"/>
          <w:szCs w:val="32"/>
          <w:highlight w:val="none"/>
        </w:rPr>
        <w:t>.</w:t>
      </w:r>
      <w:r>
        <w:rPr>
          <w:rFonts w:ascii="仿宋_GB2312" w:hAnsi="仿宋_GB2312" w:eastAsia="仿宋_GB2312" w:cs="仿宋_GB2312"/>
          <w:sz w:val="32"/>
          <w:szCs w:val="32"/>
          <w:highlight w:val="none"/>
        </w:rPr>
        <w:t>投标人服务团队须配有以下人员</w:t>
      </w:r>
      <w:r>
        <w:rPr>
          <w:rFonts w:hint="eastAsia" w:ascii="仿宋_GB2312" w:hAnsi="Times New Roman" w:eastAsia="仿宋_GB2312" w:cs="Times New Roman"/>
          <w:snapToGrid w:val="0"/>
          <w:color w:val="000000"/>
          <w:kern w:val="0"/>
          <w:sz w:val="32"/>
          <w:szCs w:val="32"/>
          <w:highlight w:val="none"/>
        </w:rPr>
        <w:t>。</w:t>
      </w:r>
    </w:p>
    <w:p>
      <w:pPr>
        <w:widowControl/>
        <w:numPr>
          <w:ilvl w:val="0"/>
          <w:numId w:val="2"/>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经理1人</w:t>
      </w:r>
    </w:p>
    <w:p>
      <w:pPr>
        <w:widowControl/>
        <w:numPr>
          <w:ilvl w:val="0"/>
          <w:numId w:val="3"/>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供应业务员</w:t>
      </w:r>
      <w:r>
        <w:rPr>
          <w:rFonts w:hint="eastAsia" w:ascii="仿宋_GB2312" w:eastAsia="仿宋_GB2312" w:cs="Times New Roman"/>
          <w:snapToGrid w:val="0"/>
          <w:color w:val="000000"/>
          <w:kern w:val="0"/>
          <w:sz w:val="32"/>
          <w:szCs w:val="32"/>
          <w:highlight w:val="none"/>
          <w:lang w:val="en-US" w:eastAsia="zh-CN"/>
        </w:rPr>
        <w:t>1</w:t>
      </w:r>
      <w:r>
        <w:rPr>
          <w:rFonts w:hint="eastAsia" w:ascii="仿宋_GB2312" w:hAnsi="Times New Roman" w:eastAsia="仿宋_GB2312" w:cs="Times New Roman"/>
          <w:snapToGrid w:val="0"/>
          <w:color w:val="000000"/>
          <w:kern w:val="0"/>
          <w:sz w:val="32"/>
          <w:szCs w:val="32"/>
          <w:highlight w:val="none"/>
        </w:rPr>
        <w:t>人</w:t>
      </w:r>
    </w:p>
    <w:p>
      <w:pPr>
        <w:widowControl/>
        <w:numPr>
          <w:ilvl w:val="0"/>
          <w:numId w:val="4"/>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食品安全管理员1人</w:t>
      </w:r>
    </w:p>
    <w:p>
      <w:pPr>
        <w:widowControl/>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（4）采购员</w:t>
      </w:r>
      <w:r>
        <w:rPr>
          <w:rFonts w:hint="eastAsia" w:ascii="仿宋_GB2312" w:eastAsia="仿宋_GB2312" w:cs="Times New Roman"/>
          <w:snapToGrid w:val="0"/>
          <w:color w:val="000000"/>
          <w:kern w:val="0"/>
          <w:sz w:val="32"/>
          <w:szCs w:val="32"/>
          <w:highlight w:val="none"/>
          <w:lang w:val="en-US" w:eastAsia="zh-CN"/>
        </w:rPr>
        <w:t>1</w:t>
      </w:r>
      <w:r>
        <w:rPr>
          <w:rFonts w:hint="eastAsia" w:ascii="仿宋_GB2312" w:hAnsi="Times New Roman" w:eastAsia="仿宋_GB2312" w:cs="Times New Roman"/>
          <w:snapToGrid w:val="0"/>
          <w:color w:val="000000"/>
          <w:kern w:val="0"/>
          <w:sz w:val="32"/>
          <w:szCs w:val="32"/>
          <w:highlight w:val="none"/>
        </w:rPr>
        <w:t>人</w:t>
      </w:r>
    </w:p>
    <w:p>
      <w:pPr>
        <w:widowControl/>
        <w:numPr>
          <w:ilvl w:val="0"/>
          <w:numId w:val="5"/>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会计1人</w:t>
      </w:r>
    </w:p>
    <w:p>
      <w:pPr>
        <w:pStyle w:val="37"/>
        <w:numPr>
          <w:ilvl w:val="0"/>
          <w:numId w:val="5"/>
        </w:numPr>
        <w:spacing w:line="360" w:lineRule="auto"/>
        <w:ind w:left="0" w:leftChars="0" w:firstLine="640" w:firstLineChars="200"/>
        <w:rPr>
          <w:rFonts w:hint="eastAsia" w:ascii="仿宋_GB2312" w:hAnsi="Times New Roman" w:eastAsia="仿宋_GB2312" w:cs="Times New Roman"/>
          <w:snapToGrid w:val="0"/>
          <w:color w:val="000000"/>
          <w:kern w:val="0"/>
          <w:sz w:val="32"/>
          <w:szCs w:val="32"/>
          <w:highlight w:val="none"/>
          <w:lang w:eastAsia="zh-CN"/>
        </w:rPr>
      </w:pPr>
      <w:r>
        <w:rPr>
          <w:rFonts w:hint="eastAsia" w:ascii="仿宋_GB2312" w:hAnsi="Times New Roman" w:eastAsia="仿宋_GB2312" w:cs="Times New Roman"/>
          <w:snapToGrid w:val="0"/>
          <w:color w:val="000000"/>
          <w:kern w:val="0"/>
          <w:sz w:val="32"/>
          <w:szCs w:val="32"/>
          <w:highlight w:val="none"/>
        </w:rPr>
        <w:t>配送司机</w:t>
      </w:r>
      <w:r>
        <w:rPr>
          <w:rFonts w:hint="eastAsia" w:ascii="仿宋_GB2312" w:eastAsia="仿宋_GB2312" w:cs="Times New Roman"/>
          <w:snapToGrid w:val="0"/>
          <w:color w:val="000000"/>
          <w:kern w:val="0"/>
          <w:sz w:val="32"/>
          <w:szCs w:val="32"/>
          <w:highlight w:val="none"/>
          <w:lang w:val="en-US" w:eastAsia="zh-CN"/>
        </w:rPr>
        <w:t>1</w:t>
      </w:r>
      <w:r>
        <w:rPr>
          <w:rFonts w:hint="eastAsia" w:ascii="仿宋_GB2312" w:hAnsi="Times New Roman" w:eastAsia="仿宋_GB2312" w:cs="Times New Roman"/>
          <w:snapToGrid w:val="0"/>
          <w:color w:val="000000"/>
          <w:kern w:val="0"/>
          <w:sz w:val="32"/>
          <w:szCs w:val="32"/>
          <w:highlight w:val="none"/>
        </w:rPr>
        <w:t>名</w:t>
      </w:r>
      <w:r>
        <w:rPr>
          <w:rFonts w:hint="eastAsia" w:ascii="仿宋_GB2312" w:eastAsia="仿宋_GB2312" w:cs="Times New Roman"/>
          <w:snapToGrid w:val="0"/>
          <w:color w:val="000000"/>
          <w:kern w:val="0"/>
          <w:sz w:val="32"/>
          <w:szCs w:val="32"/>
          <w:highlight w:val="none"/>
          <w:lang w:eastAsia="zh-CN"/>
        </w:rPr>
        <w:t>，</w:t>
      </w:r>
      <w:r>
        <w:rPr>
          <w:rFonts w:hint="eastAsia" w:ascii="仿宋_GB2312" w:hAnsi="仿宋_GB2312" w:eastAsia="仿宋_GB2312" w:cs="仿宋_GB2312"/>
          <w:sz w:val="32"/>
          <w:szCs w:val="32"/>
          <w:highlight w:val="none"/>
          <w:lang w:eastAsia="zh-CN"/>
        </w:rPr>
        <w:t>具备与投标人提供的配送车辆相匹配的驾驶证等级。</w:t>
      </w:r>
    </w:p>
    <w:p>
      <w:pPr>
        <w:pStyle w:val="15"/>
        <w:numPr>
          <w:ilvl w:val="-1"/>
          <w:numId w:val="0"/>
        </w:numPr>
        <w:overflowPunct w:val="0"/>
        <w:adjustRightInd w:val="0"/>
        <w:snapToGrid w:val="0"/>
        <w:spacing w:line="560" w:lineRule="exact"/>
        <w:ind w:left="0" w:leftChars="0" w:firstLine="640" w:firstLineChars="200"/>
        <w:rPr>
          <w:rFonts w:hint="eastAsia" w:ascii="仿宋_GB2312" w:hAnsi="Times New Roman" w:eastAsia="仿宋_GB2312" w:cs="Times New Roman"/>
          <w:snapToGrid w:val="0"/>
          <w:color w:val="000000"/>
          <w:kern w:val="0"/>
          <w:sz w:val="32"/>
          <w:szCs w:val="32"/>
          <w:highlight w:val="none"/>
          <w:lang w:eastAsia="zh-CN"/>
        </w:rPr>
      </w:pPr>
      <w:r>
        <w:rPr>
          <w:rFonts w:hint="eastAsia" w:ascii="仿宋_GB2312" w:eastAsia="仿宋_GB2312" w:cs="Times New Roman"/>
          <w:snapToGrid w:val="0"/>
          <w:color w:val="000000"/>
          <w:kern w:val="0"/>
          <w:sz w:val="32"/>
          <w:szCs w:val="32"/>
          <w:highlight w:val="none"/>
          <w:lang w:eastAsia="zh-CN"/>
        </w:rPr>
        <w:t>投标人需</w:t>
      </w:r>
      <w:r>
        <w:rPr>
          <w:rFonts w:hint="eastAsia" w:ascii="仿宋_GB2312" w:hAnsi="Times New Roman" w:eastAsia="仿宋_GB2312" w:cs="Times New Roman"/>
          <w:snapToGrid w:val="0"/>
          <w:color w:val="000000"/>
          <w:kern w:val="0"/>
          <w:sz w:val="32"/>
          <w:szCs w:val="32"/>
          <w:highlight w:val="none"/>
          <w:lang w:eastAsia="zh-CN"/>
        </w:rPr>
        <w:t>提供服务团队人员名单、</w:t>
      </w:r>
      <w:r>
        <w:rPr>
          <w:rFonts w:hint="eastAsia" w:ascii="仿宋_GB2312" w:eastAsia="仿宋_GB2312" w:cs="Times New Roman"/>
          <w:snapToGrid w:val="0"/>
          <w:color w:val="000000"/>
          <w:kern w:val="0"/>
          <w:sz w:val="32"/>
          <w:szCs w:val="32"/>
          <w:highlight w:val="none"/>
          <w:lang w:eastAsia="zh-CN"/>
        </w:rPr>
        <w:t>劳动合同或</w:t>
      </w:r>
      <w:r>
        <w:rPr>
          <w:rFonts w:hint="eastAsia" w:ascii="仿宋_GB2312" w:hAnsi="Times New Roman" w:eastAsia="仿宋_GB2312" w:cs="Times New Roman"/>
          <w:snapToGrid w:val="0"/>
          <w:color w:val="000000"/>
          <w:kern w:val="0"/>
          <w:sz w:val="32"/>
          <w:szCs w:val="32"/>
          <w:highlight w:val="none"/>
          <w:lang w:eastAsia="zh-CN"/>
        </w:rPr>
        <w:t>缴纳社保证明材料（投标人为其缴纳的开标前12个月内</w:t>
      </w:r>
      <w:r>
        <w:rPr>
          <w:rFonts w:hint="eastAsia" w:ascii="仿宋_GB2312" w:hAnsi="仿宋_GB2312" w:eastAsia="仿宋_GB2312" w:cs="仿宋_GB2312"/>
          <w:bCs/>
          <w:snapToGrid/>
          <w:color w:val="000000"/>
          <w:kern w:val="0"/>
          <w:sz w:val="32"/>
          <w:szCs w:val="32"/>
          <w:highlight w:val="none"/>
          <w:lang w:eastAsia="zh-CN" w:bidi="ar"/>
        </w:rPr>
        <w:t>至少</w:t>
      </w:r>
      <w:r>
        <w:rPr>
          <w:rFonts w:hint="eastAsia" w:ascii="仿宋_GB2312" w:hAnsi="Times New Roman" w:eastAsia="仿宋_GB2312" w:cs="Times New Roman"/>
          <w:snapToGrid w:val="0"/>
          <w:color w:val="000000"/>
          <w:kern w:val="0"/>
          <w:sz w:val="32"/>
          <w:szCs w:val="32"/>
          <w:highlight w:val="none"/>
          <w:lang w:eastAsia="zh-CN"/>
        </w:rPr>
        <w:t>1个月）、健康证明（除会计外）、简历（形式不限）、证书（如有）复印件，并加盖投标人公章。</w:t>
      </w:r>
    </w:p>
    <w:p>
      <w:pPr>
        <w:pStyle w:val="9"/>
        <w:tabs>
          <w:tab w:val="left" w:pos="0"/>
          <w:tab w:val="left" w:pos="567"/>
          <w:tab w:val="left" w:pos="680"/>
        </w:tabs>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以上人员在服务过程中应热情服务、遵规守法，具备良好的沟通能力和临时紧急配送调换的处置能力。</w:t>
      </w:r>
    </w:p>
    <w:p>
      <w:pPr>
        <w:pStyle w:val="30"/>
        <w:spacing w:after="0" w:line="360" w:lineRule="auto"/>
        <w:rPr>
          <w:highlight w:val="none"/>
        </w:rPr>
      </w:pPr>
      <w:r>
        <w:rPr>
          <w:rFonts w:ascii="仿宋_GB2312" w:hAnsi="仿宋_GB2312" w:eastAsia="仿宋_GB2312" w:cs="仿宋_GB2312"/>
          <w:sz w:val="28"/>
          <w:szCs w:val="28"/>
          <w:highlight w:val="none"/>
        </w:rPr>
        <w:t>4.1.2优选资质/优选指标</w:t>
      </w:r>
    </w:p>
    <w:tbl>
      <w:tblPr>
        <w:tblStyle w:val="7"/>
        <w:tblW w:w="5000" w:type="pct"/>
        <w:tblInd w:w="0" w:type="dxa"/>
        <w:tblLayout w:type="fixed"/>
        <w:tblCellMar>
          <w:top w:w="15" w:type="dxa"/>
          <w:left w:w="15" w:type="dxa"/>
          <w:bottom w:w="15" w:type="dxa"/>
          <w:right w:w="15" w:type="dxa"/>
        </w:tblCellMar>
      </w:tblPr>
      <w:tblGrid>
        <w:gridCol w:w="322"/>
        <w:gridCol w:w="944"/>
        <w:gridCol w:w="1034"/>
        <w:gridCol w:w="4983"/>
        <w:gridCol w:w="1067"/>
      </w:tblGrid>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序号</w:t>
            </w:r>
          </w:p>
        </w:tc>
        <w:tc>
          <w:tcPr>
            <w:tcW w:w="565"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人员类别</w:t>
            </w:r>
          </w:p>
        </w:tc>
        <w:tc>
          <w:tcPr>
            <w:tcW w:w="619"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人员岗位</w:t>
            </w:r>
          </w:p>
        </w:tc>
        <w:tc>
          <w:tcPr>
            <w:tcW w:w="2983"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人员要求</w:t>
            </w:r>
          </w:p>
        </w:tc>
        <w:tc>
          <w:tcPr>
            <w:tcW w:w="638"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是否作为加分项</w:t>
            </w:r>
          </w:p>
        </w:tc>
      </w:tr>
      <w:tr>
        <w:tblPrEx>
          <w:tblCellMar>
            <w:top w:w="15" w:type="dxa"/>
            <w:left w:w="15" w:type="dxa"/>
            <w:bottom w:w="15" w:type="dxa"/>
            <w:right w:w="15" w:type="dxa"/>
          </w:tblCellMar>
        </w:tblPrEx>
        <w:trPr>
          <w:trHeight w:val="1355" w:hRule="atLeast"/>
        </w:trPr>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1</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管理人员</w:t>
            </w:r>
          </w:p>
        </w:tc>
        <w:tc>
          <w:tcPr>
            <w:tcW w:w="619"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项目经理</w:t>
            </w:r>
          </w:p>
        </w:tc>
        <w:tc>
          <w:tcPr>
            <w:tcW w:w="2983"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具有5年</w:t>
            </w:r>
            <w:r>
              <w:rPr>
                <w:rFonts w:hint="default" w:ascii="仿宋_GB2312" w:hAnsi="仿宋_GB2312" w:eastAsia="仿宋_GB2312" w:cs="仿宋_GB2312"/>
                <w:b w:val="0"/>
                <w:bCs w:val="0"/>
                <w:i w:val="0"/>
                <w:iCs w:val="0"/>
                <w:smallCaps w:val="0"/>
                <w:color w:val="000000"/>
                <w:sz w:val="21"/>
                <w:szCs w:val="21"/>
                <w:highlight w:val="none"/>
                <w:lang w:val="en-US" w:eastAsia="zh-CN"/>
              </w:rPr>
              <w:t>及</w:t>
            </w:r>
            <w:r>
              <w:rPr>
                <w:rFonts w:hint="default" w:ascii="仿宋_GB2312" w:hAnsi="仿宋_GB2312" w:eastAsia="仿宋_GB2312" w:cs="仿宋_GB2312"/>
                <w:b w:val="0"/>
                <w:bCs w:val="0"/>
                <w:i w:val="0"/>
                <w:iCs w:val="0"/>
                <w:smallCaps w:val="0"/>
                <w:color w:val="000000"/>
                <w:sz w:val="21"/>
                <w:szCs w:val="21"/>
                <w:highlight w:val="none"/>
                <w:lang w:eastAsia="zh-CN"/>
              </w:rPr>
              <w:t>以上食材供应项目管理工作经验。</w:t>
            </w:r>
            <w:r>
              <w:rPr>
                <w:rFonts w:hint="default" w:ascii="仿宋_GB2312" w:hAnsi="仿宋_GB2312" w:eastAsia="仿宋_GB2312" w:cs="仿宋_GB2312"/>
                <w:b w:val="0"/>
                <w:bCs w:val="0"/>
                <w:i w:val="0"/>
                <w:iCs w:val="0"/>
                <w:smallCaps w:val="0"/>
                <w:color w:val="000000"/>
                <w:sz w:val="21"/>
                <w:szCs w:val="21"/>
                <w:highlight w:val="none"/>
                <w:lang w:eastAsia="zh-CN"/>
              </w:rPr>
              <w:br w:type="textWrapping"/>
            </w:r>
            <w:r>
              <w:rPr>
                <w:rFonts w:hint="default" w:ascii="仿宋_GB2312" w:hAnsi="仿宋_GB2312" w:eastAsia="仿宋_GB2312" w:cs="仿宋_GB2312"/>
                <w:b w:val="0"/>
                <w:bCs w:val="0"/>
                <w:i w:val="0"/>
                <w:iCs w:val="0"/>
                <w:smallCaps w:val="0"/>
                <w:color w:val="000000"/>
                <w:sz w:val="21"/>
                <w:szCs w:val="21"/>
                <w:highlight w:val="none"/>
                <w:lang w:eastAsia="zh-CN"/>
              </w:rPr>
              <w:t>需提供能证明该人员管理经验的相关材料，包括合同及对应的投标/响应文件复印件；或提供合同复印件及甲方开具的用户证明等。</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2</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采购人员</w:t>
            </w:r>
          </w:p>
        </w:tc>
        <w:tc>
          <w:tcPr>
            <w:tcW w:w="619"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供应业务员</w:t>
            </w:r>
          </w:p>
        </w:tc>
        <w:tc>
          <w:tcPr>
            <w:tcW w:w="2983"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具有3年及以上食材供应工作经验。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3</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管理人员</w:t>
            </w:r>
          </w:p>
        </w:tc>
        <w:tc>
          <w:tcPr>
            <w:tcW w:w="619"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食品安全管理员</w:t>
            </w:r>
          </w:p>
        </w:tc>
        <w:tc>
          <w:tcPr>
            <w:tcW w:w="2983"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具有3年及以上食品安全管理工作经验。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4</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采购人员</w:t>
            </w:r>
          </w:p>
        </w:tc>
        <w:tc>
          <w:tcPr>
            <w:tcW w:w="619"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采购员</w:t>
            </w:r>
          </w:p>
        </w:tc>
        <w:tc>
          <w:tcPr>
            <w:tcW w:w="2983"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具有3年及以上食材采购工作经验。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5</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管理人员</w:t>
            </w:r>
          </w:p>
        </w:tc>
        <w:tc>
          <w:tcPr>
            <w:tcW w:w="619"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会计</w:t>
            </w:r>
          </w:p>
        </w:tc>
        <w:tc>
          <w:tcPr>
            <w:tcW w:w="2983"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具有初级及以上会计职称（需提供职称证书等证明材料）、5年及以上会计工作经验。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6</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采购人员</w:t>
            </w:r>
          </w:p>
        </w:tc>
        <w:tc>
          <w:tcPr>
            <w:tcW w:w="619"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司机</w:t>
            </w:r>
          </w:p>
        </w:tc>
        <w:tc>
          <w:tcPr>
            <w:tcW w:w="2983"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具有3年及以上相关工作经验。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9"/>
              <w:keepNext w:val="0"/>
              <w:keepLines w:val="0"/>
              <w:pageBreakBefore w:val="0"/>
              <w:suppressLineNumbers w:val="0"/>
              <w:wordWrap/>
              <w:bidi w:val="0"/>
              <w:spacing w:before="0" w:beforeAutospacing="0" w:afterAutospacing="0" w:line="360" w:lineRule="auto"/>
              <w:ind w:left="0" w:right="0"/>
              <w:jc w:val="left"/>
              <w:rPr>
                <w:rFonts w:hint="default" w:ascii="仿宋_GB2312" w:hAnsi="仿宋_GB2312" w:eastAsia="仿宋_GB2312" w:cs="仿宋_GB2312"/>
                <w:b w:val="0"/>
                <w:bCs w:val="0"/>
                <w:i w:val="0"/>
                <w:iCs w:val="0"/>
                <w:smallCaps w:val="0"/>
                <w:color w:val="000000"/>
                <w:sz w:val="21"/>
                <w:szCs w:val="21"/>
                <w:highlight w:val="none"/>
                <w:lang w:eastAsia="zh-CN"/>
              </w:rPr>
            </w:pPr>
            <w:r>
              <w:rPr>
                <w:rFonts w:hint="default" w:ascii="仿宋_GB2312" w:hAnsi="仿宋_GB2312" w:eastAsia="仿宋_GB2312" w:cs="仿宋_GB2312"/>
                <w:b w:val="0"/>
                <w:bCs w:val="0"/>
                <w:i w:val="0"/>
                <w:iCs w:val="0"/>
                <w:smallCaps w:val="0"/>
                <w:color w:val="000000"/>
                <w:sz w:val="21"/>
                <w:szCs w:val="21"/>
                <w:highlight w:val="none"/>
                <w:lang w:eastAsia="zh-CN"/>
              </w:rPr>
              <w:t>是</w:t>
            </w:r>
          </w:p>
        </w:tc>
      </w:tr>
    </w:tbl>
    <w:p>
      <w:pPr>
        <w:pStyle w:val="9"/>
        <w:overflowPunct w:val="0"/>
        <w:adjustRightInd w:val="0"/>
        <w:snapToGrid w:val="0"/>
        <w:spacing w:after="0" w:line="560" w:lineRule="exact"/>
        <w:ind w:firstLine="640" w:firstLineChars="200"/>
        <w:rPr>
          <w:rFonts w:hint="eastAsia" w:ascii="黑体" w:hAnsi="黑体" w:eastAsia="黑体" w:cs="黑体"/>
          <w:bCs/>
          <w:sz w:val="32"/>
          <w:szCs w:val="32"/>
          <w:highlight w:val="none"/>
        </w:rPr>
      </w:pPr>
    </w:p>
    <w:p>
      <w:pPr>
        <w:pStyle w:val="28"/>
        <w:spacing w:line="360" w:lineRule="auto"/>
        <w:jc w:val="center"/>
        <w:rPr>
          <w:highlight w:val="none"/>
        </w:rPr>
      </w:pPr>
      <w:r>
        <w:rPr>
          <w:rFonts w:ascii="仿宋_GB2312" w:hAnsi="仿宋_GB2312" w:eastAsia="仿宋_GB2312" w:cs="仿宋_GB2312"/>
          <w:kern w:val="36"/>
          <w:highlight w:val="none"/>
        </w:rPr>
        <w:t>5管理实施要求</w:t>
      </w:r>
    </w:p>
    <w:p>
      <w:pPr>
        <w:pStyle w:val="30"/>
        <w:spacing w:after="0" w:line="360" w:lineRule="auto"/>
        <w:rPr>
          <w:rFonts w:ascii="楷体_GB2312" w:hAnsi="宋体" w:eastAsia="楷体_GB2312" w:cs="宋体"/>
          <w:snapToGrid w:val="0"/>
          <w:color w:val="000000"/>
          <w:spacing w:val="-5"/>
          <w:kern w:val="0"/>
          <w:sz w:val="32"/>
          <w:szCs w:val="32"/>
          <w:highlight w:val="none"/>
        </w:rPr>
      </w:pPr>
      <w:r>
        <w:rPr>
          <w:rFonts w:hint="eastAsia"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.1</w:t>
      </w:r>
      <w:r>
        <w:rPr>
          <w:rFonts w:ascii="楷体_GB2312" w:hAnsi="宋体" w:eastAsia="楷体_GB2312" w:cs="宋体"/>
          <w:snapToGrid w:val="0"/>
          <w:color w:val="000000"/>
          <w:spacing w:val="-5"/>
          <w:kern w:val="0"/>
          <w:sz w:val="32"/>
          <w:szCs w:val="32"/>
          <w:highlight w:val="none"/>
        </w:rPr>
        <w:t>供应方案要求</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投标人应提交科学合理的供应方案。方案应包含服务团队管理措施、内部采购管理措施、储存分拣管理措施、科学合理运输措施等。</w:t>
      </w:r>
    </w:p>
    <w:p>
      <w:pPr>
        <w:pStyle w:val="30"/>
        <w:spacing w:after="0" w:line="360" w:lineRule="auto"/>
        <w:rPr>
          <w:rFonts w:ascii="楷体_GB2312" w:hAnsi="宋体" w:eastAsia="楷体_GB2312" w:cs="宋体"/>
          <w:snapToGrid w:val="0"/>
          <w:color w:val="000000"/>
          <w:spacing w:val="-5"/>
          <w:kern w:val="0"/>
          <w:sz w:val="32"/>
          <w:szCs w:val="32"/>
          <w:highlight w:val="none"/>
        </w:rPr>
      </w:pPr>
      <w:r>
        <w:rPr>
          <w:rFonts w:hint="eastAsia"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2</w:t>
      </w:r>
      <w:r>
        <w:rPr>
          <w:rFonts w:ascii="楷体_GB2312" w:hAnsi="宋体" w:eastAsia="楷体_GB2312" w:cs="宋体"/>
          <w:snapToGrid w:val="0"/>
          <w:color w:val="000000"/>
          <w:spacing w:val="-5"/>
          <w:kern w:val="0"/>
          <w:sz w:val="32"/>
          <w:szCs w:val="32"/>
          <w:highlight w:val="none"/>
        </w:rPr>
        <w:t>质量安全把控方案要求</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1.投标人应提供质量安全把控方案。方案内容应详细描述供应货物质量把控措施、检验检疫关键环节把控、不符合质量标准货品处置等内容，确保提供食材安全可靠。</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2.中标人应严格遵守《中华人民共和国食品安全法》和《动物检疫管理办法》等相关规定、所提供的产品是合格安全的产品，一经发现供应以下食品，采购人除全部退货外，中标人承担由此造成的经济责任和法律责任：</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 xml:space="preserve">（1）腐败变质、油脂酸败、霉变、生虫、污秽不洁、混有异物或者其他感官性状异常，对人体健康有害的； </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 xml:space="preserve">（2）含有毒、有害物质或者被有毒、有害物质污染，对人体健康有害的； </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（3）含有致病性寄生虫、微生物或者微生物含量超过国家限定标准的；</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 xml:space="preserve">（4）未经动物检疫部门检疫、检验或者检疫、检验不合格的肉类及其制品； </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 xml:space="preserve">（5）病死、毒死或者死因不明的禽、畜、兽等及其制品； </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 xml:space="preserve">（6）掺假、掺杂、伪造，影响营养、卫生的； </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 xml:space="preserve">（7）用非食品原料加工的，加入非食品用化学物质或者将非食品当作食品的； </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（8）超过保质期限的；</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（9）使用有色、有毒塑料制品、包装食材的；</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（10）其他不符合《食品安全法》《产品质量法》和《动物检疫管理办法》等相关规定的。</w:t>
      </w:r>
    </w:p>
    <w:p>
      <w:pPr>
        <w:pStyle w:val="33"/>
        <w:spacing w:before="0" w:after="0" w:line="360" w:lineRule="auto"/>
        <w:ind w:firstLine="640" w:firstLineChars="200"/>
        <w:jc w:val="both"/>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3.凡投标人所供应货物应为原箱包装，拆包或重组包装的应提前向采购人说明，定量包装批量误差不应超过实际标示的5%。</w:t>
      </w:r>
    </w:p>
    <w:p>
      <w:pPr>
        <w:pStyle w:val="33"/>
        <w:spacing w:before="0" w:after="0" w:line="360" w:lineRule="auto"/>
        <w:jc w:val="both"/>
        <w:rPr>
          <w:rFonts w:ascii="楷体_GB2312" w:hAnsi="宋体" w:eastAsia="楷体_GB2312" w:cs="宋体"/>
          <w:b/>
          <w:bCs/>
          <w:snapToGrid w:val="0"/>
          <w:color w:val="000000"/>
          <w:spacing w:val="-5"/>
          <w:kern w:val="0"/>
          <w:sz w:val="32"/>
          <w:szCs w:val="32"/>
          <w:highlight w:val="none"/>
          <w:lang w:val="en-US" w:eastAsia="en-US" w:bidi="ar-SA"/>
        </w:rPr>
      </w:pPr>
      <w:r>
        <w:rPr>
          <w:rFonts w:hint="eastAsia" w:ascii="楷体_GB2312" w:hAnsi="宋体" w:eastAsia="楷体_GB2312" w:cs="宋体"/>
          <w:b/>
          <w:bCs/>
          <w:snapToGrid w:val="0"/>
          <w:color w:val="000000"/>
          <w:spacing w:val="-5"/>
          <w:kern w:val="0"/>
          <w:sz w:val="32"/>
          <w:szCs w:val="32"/>
          <w:highlight w:val="none"/>
          <w:lang w:val="en-US" w:eastAsia="zh-CN" w:bidi="ar-SA"/>
        </w:rPr>
        <w:t>5</w:t>
      </w:r>
      <w:r>
        <w:rPr>
          <w:rFonts w:ascii="楷体_GB2312" w:hAnsi="宋体" w:eastAsia="楷体_GB2312" w:cs="宋体"/>
          <w:b/>
          <w:bCs/>
          <w:snapToGrid w:val="0"/>
          <w:color w:val="000000"/>
          <w:spacing w:val="-5"/>
          <w:kern w:val="0"/>
          <w:sz w:val="32"/>
          <w:szCs w:val="32"/>
          <w:highlight w:val="none"/>
          <w:lang w:val="en-US" w:eastAsia="en-US" w:bidi="ar-SA"/>
        </w:rPr>
        <w:t>.</w:t>
      </w:r>
      <w:r>
        <w:rPr>
          <w:rFonts w:hint="eastAsia" w:ascii="楷体_GB2312" w:hAnsi="宋体" w:eastAsia="楷体_GB2312" w:cs="宋体"/>
          <w:b/>
          <w:bCs/>
          <w:snapToGrid w:val="0"/>
          <w:color w:val="000000"/>
          <w:spacing w:val="-5"/>
          <w:kern w:val="0"/>
          <w:sz w:val="32"/>
          <w:szCs w:val="32"/>
          <w:highlight w:val="none"/>
          <w:lang w:val="en-US" w:eastAsia="zh-CN" w:bidi="ar-SA"/>
        </w:rPr>
        <w:t>3</w:t>
      </w:r>
      <w:r>
        <w:rPr>
          <w:rFonts w:ascii="楷体_GB2312" w:hAnsi="宋体" w:eastAsia="楷体_GB2312" w:cs="宋体"/>
          <w:b/>
          <w:bCs/>
          <w:snapToGrid w:val="0"/>
          <w:color w:val="000000"/>
          <w:spacing w:val="-5"/>
          <w:kern w:val="0"/>
          <w:sz w:val="32"/>
          <w:szCs w:val="32"/>
          <w:highlight w:val="none"/>
          <w:lang w:val="en-US" w:eastAsia="en-US" w:bidi="ar-SA"/>
        </w:rPr>
        <w:t>货物验收方案要求</w:t>
      </w:r>
    </w:p>
    <w:p>
      <w:pPr>
        <w:pStyle w:val="33"/>
        <w:spacing w:before="0" w:after="0" w:line="360" w:lineRule="auto"/>
        <w:ind w:firstLine="640"/>
        <w:jc w:val="both"/>
        <w:rPr>
          <w:rFonts w:ascii="Times New Roman" w:hAnsi="Times New Roman" w:eastAsia="Times New Roman" w:cs="Times New Roman"/>
          <w:highlight w:val="none"/>
        </w:rPr>
      </w:pPr>
      <w:r>
        <w:rPr>
          <w:rFonts w:hint="eastAsia" w:ascii="仿宋_GB2312" w:hAnsi="仿宋_GB2312" w:eastAsia="仿宋_GB2312" w:cs="仿宋_GB2312"/>
          <w:sz w:val="32"/>
          <w:szCs w:val="32"/>
          <w:highlight w:val="none"/>
        </w:rPr>
        <w:t>投标人必须按照本项目需求书要求详细阐述货物验收方案。对规定各项验收指标提出明确的验收前提条件和验收依据及标准，列明需要移交和交付的各类检验报告和证明证书。对验收中可能发现的问题，投标人应提出有效解决办法和补救措施</w:t>
      </w:r>
      <w:r>
        <w:rPr>
          <w:rFonts w:ascii="仿宋_GB2312" w:hAnsi="仿宋_GB2312" w:eastAsia="仿宋_GB2312" w:cs="仿宋_GB2312"/>
          <w:sz w:val="32"/>
          <w:szCs w:val="32"/>
          <w:highlight w:val="none"/>
        </w:rPr>
        <w:t>。</w:t>
      </w:r>
    </w:p>
    <w:p>
      <w:pPr>
        <w:pStyle w:val="28"/>
        <w:keepNext w:val="0"/>
        <w:spacing w:before="0" w:after="0" w:line="360" w:lineRule="auto"/>
        <w:jc w:val="center"/>
        <w:rPr>
          <w:rFonts w:hint="eastAsia" w:ascii="楷体" w:hAnsi="楷体" w:eastAsia="楷体" w:cs="楷体"/>
          <w:sz w:val="32"/>
          <w:szCs w:val="32"/>
          <w:highlight w:val="none"/>
        </w:rPr>
      </w:pPr>
      <w:r>
        <w:rPr>
          <w:rFonts w:ascii="仿宋_GB2312" w:hAnsi="仿宋_GB2312" w:eastAsia="仿宋_GB2312" w:cs="仿宋_GB2312"/>
          <w:kern w:val="36"/>
          <w:highlight w:val="none"/>
        </w:rPr>
        <w:t>6风险管控要求</w:t>
      </w:r>
    </w:p>
    <w:p>
      <w:pPr>
        <w:pStyle w:val="33"/>
        <w:spacing w:before="0" w:after="0" w:line="360" w:lineRule="auto"/>
        <w:jc w:val="both"/>
        <w:rPr>
          <w:rFonts w:ascii="楷体_GB2312" w:hAnsi="宋体" w:eastAsia="楷体_GB2312" w:cs="宋体"/>
          <w:b/>
          <w:bCs/>
          <w:snapToGrid w:val="0"/>
          <w:color w:val="000000"/>
          <w:spacing w:val="-5"/>
          <w:kern w:val="0"/>
          <w:sz w:val="32"/>
          <w:szCs w:val="32"/>
          <w:highlight w:val="none"/>
          <w:lang w:val="en-US" w:eastAsia="en-US" w:bidi="ar-SA"/>
        </w:rPr>
      </w:pPr>
      <w:r>
        <w:rPr>
          <w:rFonts w:hint="eastAsia" w:ascii="楷体_GB2312" w:hAnsi="宋体" w:eastAsia="楷体_GB2312" w:cs="宋体"/>
          <w:b/>
          <w:bCs/>
          <w:snapToGrid w:val="0"/>
          <w:color w:val="000000"/>
          <w:spacing w:val="-5"/>
          <w:kern w:val="0"/>
          <w:sz w:val="32"/>
          <w:szCs w:val="32"/>
          <w:highlight w:val="none"/>
          <w:lang w:val="en-US" w:eastAsia="zh-CN" w:bidi="ar-SA"/>
        </w:rPr>
        <w:t>6.1</w:t>
      </w:r>
      <w:r>
        <w:rPr>
          <w:rFonts w:hint="eastAsia" w:ascii="楷体_GB2312" w:hAnsi="宋体" w:eastAsia="楷体_GB2312" w:cs="宋体"/>
          <w:b/>
          <w:bCs/>
          <w:snapToGrid w:val="0"/>
          <w:color w:val="000000"/>
          <w:spacing w:val="-5"/>
          <w:kern w:val="0"/>
          <w:sz w:val="32"/>
          <w:szCs w:val="32"/>
          <w:highlight w:val="none"/>
          <w:lang w:val="en-US" w:eastAsia="en-US" w:bidi="ar-SA"/>
        </w:rPr>
        <w:t>应急保障方案要求</w:t>
      </w:r>
    </w:p>
    <w:p>
      <w:pPr>
        <w:pStyle w:val="9"/>
        <w:tabs>
          <w:tab w:val="left" w:pos="0"/>
          <w:tab w:val="left" w:pos="567"/>
          <w:tab w:val="left" w:pos="680"/>
        </w:tabs>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投标人应提供在自然灾害、极端事件、市场关闭、物资紧缺等突发紧急情况下拟采取的应急保障方案，包括充分供应、按时保障等措施，确保食材及时供应不间断。</w:t>
      </w:r>
    </w:p>
    <w:p>
      <w:pPr>
        <w:pStyle w:val="33"/>
        <w:spacing w:before="0" w:after="0" w:line="360" w:lineRule="auto"/>
        <w:jc w:val="both"/>
        <w:rPr>
          <w:rFonts w:hint="eastAsia" w:ascii="楷体_GB2312" w:hAnsi="宋体" w:eastAsia="楷体_GB2312" w:cs="宋体"/>
          <w:b/>
          <w:bCs/>
          <w:snapToGrid w:val="0"/>
          <w:color w:val="000000"/>
          <w:spacing w:val="-5"/>
          <w:kern w:val="0"/>
          <w:sz w:val="32"/>
          <w:szCs w:val="32"/>
          <w:highlight w:val="none"/>
          <w:lang w:val="en-US" w:eastAsia="en-US" w:bidi="ar-SA"/>
        </w:rPr>
      </w:pPr>
      <w:r>
        <w:rPr>
          <w:rFonts w:hint="eastAsia" w:ascii="楷体_GB2312" w:hAnsi="宋体" w:eastAsia="楷体_GB2312" w:cs="宋体"/>
          <w:b/>
          <w:bCs/>
          <w:snapToGrid w:val="0"/>
          <w:color w:val="000000"/>
          <w:spacing w:val="-5"/>
          <w:kern w:val="0"/>
          <w:sz w:val="32"/>
          <w:szCs w:val="32"/>
          <w:highlight w:val="none"/>
          <w:lang w:val="en-US" w:eastAsia="zh-CN" w:bidi="ar-SA"/>
        </w:rPr>
        <w:t>6.2</w:t>
      </w:r>
      <w:r>
        <w:rPr>
          <w:rFonts w:hint="eastAsia" w:ascii="楷体_GB2312" w:hAnsi="宋体" w:eastAsia="楷体_GB2312" w:cs="宋体"/>
          <w:b/>
          <w:bCs/>
          <w:snapToGrid w:val="0"/>
          <w:color w:val="000000"/>
          <w:spacing w:val="-5"/>
          <w:kern w:val="0"/>
          <w:sz w:val="32"/>
          <w:szCs w:val="32"/>
          <w:highlight w:val="none"/>
          <w:lang w:val="en-US" w:eastAsia="en-US" w:bidi="ar-SA"/>
        </w:rPr>
        <w:t>违约风险管控要求</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投标人中标后采用先送货后结账的模式，不收取履约保证金。</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1.投标人有下列情形之一的，采购人有权按照以下约定及合同违约相关条款处理：</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（1）凡经相关部门认定，因投标人所提供的原料原因造成采购人食堂出现食物中毒等卫生安全事故的，投标人除必须承担全部的法律责任外，还要全额承担因食物中毒发生所造成后果的一切费用。</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（2）除不可抗力及采购人原因外，因投标人配送不及时导致采购人供餐延时，但经投标人采取补救措施未造成采购人不良影响的，出现三次终止供货合同。</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（3）凡投标人向采购人提供产品发生质量问题影响食用，并拒绝退换的，出现两次终止供货合同。</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（4）采购人将不定期组织专人对食材进行抽检，若发现质量不符，采购人有权要求予以退换货。</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2.投标人有下列情形之一的，采购人有权解除合同，由投标人承担全部经济损失和相关责任：</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（1）因投标人配送不及时导致采购人供餐延误并造成重大影响的。</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（2）投标人以书面、微信、短信等方式通知采购人不再供货，包括对部分食材不再供货。</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（3）投标人虽未通知采购人不再供货，但1天没有供应采购人采购的货物，包括对部分食材没有供货。</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（4）投标人未经采购人同意单方面提价的。</w:t>
      </w:r>
    </w:p>
    <w:p>
      <w:pPr>
        <w:pStyle w:val="9"/>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（5）因投标人原因，所配送的货物出现重大食品安全问题的。</w:t>
      </w:r>
    </w:p>
    <w:p>
      <w:pPr>
        <w:pStyle w:val="28"/>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7履约验收要求</w:t>
      </w:r>
    </w:p>
    <w:p>
      <w:pPr>
        <w:pStyle w:val="29"/>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7.1总体要求</w:t>
      </w:r>
    </w:p>
    <w:tbl>
      <w:tblPr>
        <w:tblStyle w:val="7"/>
        <w:tblW w:w="5000" w:type="pct"/>
        <w:tblInd w:w="30" w:type="dxa"/>
        <w:tblLayout w:type="autofit"/>
        <w:tblCellMar>
          <w:top w:w="15" w:type="dxa"/>
          <w:left w:w="15" w:type="dxa"/>
          <w:bottom w:w="15" w:type="dxa"/>
          <w:right w:w="15" w:type="dxa"/>
        </w:tblCellMar>
      </w:tblPr>
      <w:tblGrid>
        <w:gridCol w:w="1368"/>
        <w:gridCol w:w="6982"/>
      </w:tblGrid>
      <w:tr>
        <w:tc>
          <w:tcPr>
            <w:tcW w:w="819"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验收名称</w:t>
            </w:r>
          </w:p>
        </w:tc>
        <w:tc>
          <w:tcPr>
            <w:tcW w:w="418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bCs/>
                <w:i w:val="0"/>
                <w:iCs w:val="0"/>
                <w:smallCaps w:val="0"/>
                <w:color w:val="000000"/>
                <w:sz w:val="21"/>
                <w:szCs w:val="21"/>
                <w:highlight w:val="none"/>
              </w:rPr>
              <w:t>验收要求</w:t>
            </w:r>
          </w:p>
        </w:tc>
      </w:tr>
      <w:tr>
        <w:tblPrEx>
          <w:tblCellMar>
            <w:top w:w="15" w:type="dxa"/>
            <w:left w:w="15" w:type="dxa"/>
            <w:bottom w:w="15" w:type="dxa"/>
            <w:right w:w="15" w:type="dxa"/>
          </w:tblCellMar>
        </w:tblPrEx>
        <w:tc>
          <w:tcPr>
            <w:tcW w:w="81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每1次验收</w:t>
            </w:r>
          </w:p>
        </w:tc>
        <w:tc>
          <w:tcPr>
            <w:tcW w:w="418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9"/>
              <w:keepNext w:val="0"/>
              <w:keepLines w:val="0"/>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本项目按照采购人需求安排每日验收。</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lang w:eastAsia="en-US"/>
              </w:rPr>
              <w:t>采购人按</w:t>
            </w:r>
            <w:r>
              <w:rPr>
                <w:rFonts w:hint="eastAsia" w:ascii="仿宋_GB2312" w:hAnsi="仿宋_GB2312" w:eastAsia="仿宋_GB2312" w:cs="仿宋_GB2312"/>
                <w:b w:val="0"/>
                <w:bCs w:val="0"/>
                <w:i w:val="0"/>
                <w:iCs w:val="0"/>
                <w:smallCaps w:val="0"/>
                <w:color w:val="000000"/>
                <w:sz w:val="21"/>
                <w:szCs w:val="21"/>
                <w:highlight w:val="none"/>
                <w:lang w:eastAsia="zh-CN"/>
              </w:rPr>
              <w:t>日</w:t>
            </w:r>
            <w:r>
              <w:rPr>
                <w:rFonts w:hint="default" w:ascii="仿宋_GB2312" w:hAnsi="仿宋_GB2312" w:eastAsia="仿宋_GB2312" w:cs="仿宋_GB2312"/>
                <w:b w:val="0"/>
                <w:bCs w:val="0"/>
                <w:i w:val="0"/>
                <w:iCs w:val="0"/>
                <w:smallCaps w:val="0"/>
                <w:color w:val="000000"/>
                <w:sz w:val="21"/>
                <w:szCs w:val="21"/>
                <w:highlight w:val="none"/>
                <w:lang w:eastAsia="en-US"/>
              </w:rPr>
              <w:t>向投标人发布</w:t>
            </w:r>
            <w:r>
              <w:rPr>
                <w:rFonts w:hint="eastAsia" w:ascii="仿宋_GB2312" w:hAnsi="仿宋_GB2312" w:eastAsia="仿宋_GB2312" w:cs="仿宋_GB2312"/>
                <w:b w:val="0"/>
                <w:bCs w:val="0"/>
                <w:i w:val="0"/>
                <w:iCs w:val="0"/>
                <w:smallCaps w:val="0"/>
                <w:color w:val="000000"/>
                <w:sz w:val="21"/>
                <w:szCs w:val="21"/>
                <w:highlight w:val="none"/>
                <w:lang w:eastAsia="zh-CN"/>
              </w:rPr>
              <w:t>下一日</w:t>
            </w:r>
            <w:r>
              <w:rPr>
                <w:rFonts w:hint="default" w:ascii="仿宋_GB2312" w:hAnsi="仿宋_GB2312" w:eastAsia="仿宋_GB2312" w:cs="仿宋_GB2312"/>
                <w:b w:val="0"/>
                <w:bCs w:val="0"/>
                <w:i w:val="0"/>
                <w:iCs w:val="0"/>
                <w:smallCaps w:val="0"/>
                <w:color w:val="000000"/>
                <w:sz w:val="21"/>
                <w:szCs w:val="21"/>
                <w:highlight w:val="none"/>
                <w:lang w:eastAsia="en-US"/>
              </w:rPr>
              <w:t>采购内容</w:t>
            </w:r>
            <w:r>
              <w:rPr>
                <w:rFonts w:hint="eastAsia" w:ascii="仿宋_GB2312" w:hAnsi="仿宋_GB2312" w:eastAsia="仿宋_GB2312" w:cs="仿宋_GB2312"/>
                <w:b w:val="0"/>
                <w:bCs w:val="0"/>
                <w:i w:val="0"/>
                <w:iCs w:val="0"/>
                <w:smallCaps w:val="0"/>
                <w:color w:val="000000"/>
                <w:sz w:val="21"/>
                <w:szCs w:val="21"/>
                <w:highlight w:val="none"/>
                <w:lang w:eastAsia="zh-CN"/>
              </w:rPr>
              <w:t>和送货日期</w:t>
            </w:r>
            <w:r>
              <w:rPr>
                <w:rFonts w:hint="default" w:ascii="仿宋_GB2312" w:hAnsi="仿宋_GB2312" w:eastAsia="仿宋_GB2312" w:cs="仿宋_GB2312"/>
                <w:b w:val="0"/>
                <w:bCs w:val="0"/>
                <w:i w:val="0"/>
                <w:iCs w:val="0"/>
                <w:smallCaps w:val="0"/>
                <w:color w:val="000000"/>
                <w:sz w:val="21"/>
                <w:szCs w:val="21"/>
                <w:highlight w:val="none"/>
                <w:lang w:eastAsia="en-US"/>
              </w:rPr>
              <w:t>，</w:t>
            </w:r>
            <w:r>
              <w:rPr>
                <w:rFonts w:hint="eastAsia" w:ascii="仿宋_GB2312" w:hAnsi="仿宋_GB2312" w:eastAsia="仿宋_GB2312" w:cs="仿宋_GB2312"/>
                <w:b w:val="0"/>
                <w:bCs w:val="0"/>
                <w:i w:val="0"/>
                <w:iCs w:val="0"/>
                <w:smallCaps w:val="0"/>
                <w:color w:val="000000"/>
                <w:sz w:val="21"/>
                <w:szCs w:val="21"/>
                <w:highlight w:val="none"/>
                <w:lang w:eastAsia="en-US"/>
              </w:rPr>
              <w:t>原则上每周配送</w:t>
            </w:r>
            <w:r>
              <w:rPr>
                <w:rFonts w:hint="eastAsia" w:ascii="仿宋_GB2312" w:hAnsi="仿宋_GB2312" w:eastAsia="仿宋_GB2312" w:cs="仿宋_GB2312"/>
                <w:b w:val="0"/>
                <w:bCs w:val="0"/>
                <w:i w:val="0"/>
                <w:iCs w:val="0"/>
                <w:smallCaps w:val="0"/>
                <w:color w:val="000000"/>
                <w:sz w:val="21"/>
                <w:szCs w:val="21"/>
                <w:highlight w:val="none"/>
                <w:lang w:val="en-US" w:eastAsia="zh-CN"/>
              </w:rPr>
              <w:t>6</w:t>
            </w:r>
            <w:r>
              <w:rPr>
                <w:rFonts w:hint="eastAsia" w:ascii="仿宋_GB2312" w:hAnsi="仿宋_GB2312" w:eastAsia="仿宋_GB2312" w:cs="仿宋_GB2312"/>
                <w:b w:val="0"/>
                <w:bCs w:val="0"/>
                <w:i w:val="0"/>
                <w:iCs w:val="0"/>
                <w:smallCaps w:val="0"/>
                <w:color w:val="000000"/>
                <w:sz w:val="21"/>
                <w:szCs w:val="21"/>
                <w:highlight w:val="none"/>
                <w:lang w:eastAsia="en-US"/>
              </w:rPr>
              <w:t>次，</w:t>
            </w:r>
            <w:r>
              <w:rPr>
                <w:rFonts w:hint="eastAsia" w:ascii="仿宋_GB2312" w:hAnsi="仿宋_GB2312" w:eastAsia="仿宋_GB2312" w:cs="仿宋_GB2312"/>
                <w:b w:val="0"/>
                <w:bCs w:val="0"/>
                <w:i w:val="0"/>
                <w:iCs w:val="0"/>
                <w:smallCaps w:val="0"/>
                <w:color w:val="000000"/>
                <w:sz w:val="21"/>
                <w:szCs w:val="21"/>
                <w:highlight w:val="none"/>
                <w:lang w:eastAsia="zh-CN"/>
              </w:rPr>
              <w:t>分别为每周一至周五、周日，</w:t>
            </w:r>
            <w:r>
              <w:rPr>
                <w:rFonts w:hint="eastAsia" w:ascii="仿宋_GB2312" w:hAnsi="仿宋_GB2312" w:eastAsia="仿宋_GB2312" w:cs="仿宋_GB2312"/>
                <w:b w:val="0"/>
                <w:bCs w:val="0"/>
                <w:i w:val="0"/>
                <w:iCs w:val="0"/>
                <w:smallCaps w:val="0"/>
                <w:color w:val="000000"/>
                <w:sz w:val="21"/>
                <w:szCs w:val="21"/>
                <w:highlight w:val="none"/>
                <w:lang w:eastAsia="en-US"/>
              </w:rPr>
              <w:t>因季节、天气等特殊情况需调整配送频次时以采购人发布信息为准</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1.验收人员：由采购人食堂相关管理人员验收，投标人送货人员应积极配合验收。</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2.验收时间和地点</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（1）验收时间：到货当天。</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（2）验收地点：</w:t>
            </w:r>
            <w:r>
              <w:rPr>
                <w:rFonts w:hint="default" w:ascii="仿宋_GB2312" w:hAnsi="仿宋_GB2312" w:eastAsia="仿宋_GB2312" w:cs="仿宋_GB2312"/>
                <w:b w:val="0"/>
                <w:bCs w:val="0"/>
                <w:snapToGrid/>
                <w:color w:val="000000"/>
                <w:kern w:val="0"/>
                <w:sz w:val="21"/>
                <w:szCs w:val="21"/>
                <w:highlight w:val="none"/>
              </w:rPr>
              <w:t>国家税务总局北京市税务局第一稽查局四平园</w:t>
            </w:r>
            <w:r>
              <w:rPr>
                <w:rFonts w:hint="eastAsia" w:ascii="仿宋_GB2312" w:hAnsi="仿宋_GB2312" w:eastAsia="仿宋_GB2312" w:cs="仿宋_GB2312"/>
                <w:b w:val="0"/>
                <w:bCs w:val="0"/>
                <w:snapToGrid/>
                <w:color w:val="000000"/>
                <w:kern w:val="0"/>
                <w:sz w:val="21"/>
                <w:szCs w:val="21"/>
                <w:highlight w:val="none"/>
                <w:lang w:val="en-US" w:eastAsia="zh-CN"/>
              </w:rPr>
              <w:t>办</w:t>
            </w:r>
            <w:r>
              <w:rPr>
                <w:rFonts w:hint="default" w:ascii="仿宋_GB2312" w:hAnsi="仿宋_GB2312" w:eastAsia="仿宋_GB2312" w:cs="仿宋_GB2312"/>
                <w:b w:val="0"/>
                <w:bCs w:val="0"/>
                <w:snapToGrid/>
                <w:color w:val="000000"/>
                <w:kern w:val="0"/>
                <w:sz w:val="21"/>
                <w:szCs w:val="21"/>
                <w:highlight w:val="none"/>
              </w:rPr>
              <w:t>公区职工食堂（北京市西城区四平园7号楼）和国家税务总局北京市税务局第一稽查局南华里办公区职工食堂（北京市西城区南华里10号楼）。</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（3）验收组织形式：采购人组织验收。</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（4）验收方式：现场验收。</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（5）验收内容:</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lang w:val="en-US" w:eastAsia="zh-CN"/>
              </w:rPr>
              <w:t xml:space="preserve">   </w:t>
            </w:r>
            <w:r>
              <w:rPr>
                <w:rFonts w:hint="default" w:ascii="仿宋_GB2312" w:hAnsi="仿宋_GB2312" w:eastAsia="仿宋_GB2312" w:cs="仿宋_GB2312"/>
                <w:b w:val="0"/>
                <w:bCs w:val="0"/>
                <w:i w:val="0"/>
                <w:iCs w:val="0"/>
                <w:smallCaps w:val="0"/>
                <w:color w:val="000000"/>
                <w:sz w:val="21"/>
                <w:szCs w:val="21"/>
                <w:highlight w:val="none"/>
              </w:rPr>
              <w:t>（a）质量是否符合约定标准；</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lang w:val="en-US" w:eastAsia="zh-CN"/>
              </w:rPr>
              <w:t xml:space="preserve">   </w:t>
            </w:r>
            <w:r>
              <w:rPr>
                <w:rFonts w:hint="default" w:ascii="仿宋_GB2312" w:hAnsi="仿宋_GB2312" w:eastAsia="仿宋_GB2312" w:cs="仿宋_GB2312"/>
                <w:b w:val="0"/>
                <w:bCs w:val="0"/>
                <w:i w:val="0"/>
                <w:iCs w:val="0"/>
                <w:smallCaps w:val="0"/>
                <w:color w:val="000000"/>
                <w:sz w:val="21"/>
                <w:szCs w:val="21"/>
                <w:highlight w:val="none"/>
              </w:rPr>
              <w:t>（b）重量、数量、价格是否与采购人的预定需求一致。</w:t>
            </w:r>
          </w:p>
        </w:tc>
      </w:tr>
    </w:tbl>
    <w:p>
      <w:pPr>
        <w:pStyle w:val="9"/>
        <w:adjustRightInd w:val="0"/>
        <w:snapToGrid w:val="0"/>
        <w:spacing w:after="0" w:line="560" w:lineRule="exact"/>
        <w:rPr>
          <w:rFonts w:hint="eastAsia" w:ascii="楷体" w:hAnsi="楷体" w:eastAsia="楷体" w:cs="楷体"/>
          <w:sz w:val="32"/>
          <w:szCs w:val="32"/>
          <w:highlight w:val="none"/>
        </w:rPr>
      </w:pPr>
    </w:p>
    <w:p>
      <w:pPr>
        <w:pStyle w:val="29"/>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7.2具体要求</w:t>
      </w:r>
    </w:p>
    <w:p>
      <w:pPr>
        <w:pStyle w:val="15"/>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1.验收准备</w:t>
      </w:r>
    </w:p>
    <w:p>
      <w:pPr>
        <w:pStyle w:val="15"/>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应当在采购人指定的固定场所，固定时间段进行验收。投标人具备有食品安全质量检验能力，提供给采购人的食品及原材料，经过配送前检测，保证配送给采购人的食品及原材料符合食品卫生安全质量标准，并提供食品检验报告单，采购人有权进行监督和履行货物验收手续。</w:t>
      </w:r>
    </w:p>
    <w:p>
      <w:pPr>
        <w:pStyle w:val="15"/>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采购人可对投标人供应的生鲜类食材实行食材留样和农药检测，并不定期抽样送卫生防疫部门检疫。如有卫生、质量问题，检验费由投标人承担，并承担全部损失及相关责任。</w:t>
      </w:r>
    </w:p>
    <w:p>
      <w:pPr>
        <w:pStyle w:val="15"/>
        <w:numPr>
          <w:ilvl w:val="0"/>
          <w:numId w:val="6"/>
        </w:numPr>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验收人员按订单对采购货物的品种、质量、数量进行检查验收，对货不对版、质量不好、价格明显偏高的食材不予验收且有权拒收。对于数量不足的食材，按照实际数量入账，填制验收记录和验收单。</w:t>
      </w:r>
    </w:p>
    <w:p>
      <w:pPr>
        <w:pStyle w:val="15"/>
        <w:numPr>
          <w:ilvl w:val="0"/>
          <w:numId w:val="0"/>
        </w:numPr>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3.验收流程</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（1）投标人应在验收时提供与送货内容一致的送货单，并加盖公章。</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（2）卸货前的检查</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验收人员卸货前应对货物的外观质量进行初步了解。</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食材运输必须采用符合卫生要求的外包装和运输工具，车厢内保持清洁和定期消毒，无异味。冷藏、冷冻食品必须用专用冷藏、冷冻载具运输，在运输过程中保持安全的冷藏、冷冻温度，冷冻食品没有曾经解冻痕迹或软化现象，包装呈干爽状态。食材应清洁，无损伤、腐烂现象，外包装完整，无寄生虫或已受虫害现象。</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（3）采取当场验收的方式，验收人认真检查货物，按“核对品种→索证→抽查(检测）→数量、重量、质量、价格验收→签名确认→入库”的程序完成验收。</w:t>
      </w:r>
    </w:p>
    <w:p>
      <w:pPr>
        <w:pStyle w:val="15"/>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验收完成签字确认后投标人才可离场。</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所有食材都要鉴别其质量是否符合国家食品安全标准，对于没有国家标准的应符合行业标准或企业标准，其中国家有强制性技术标准要求的产品，还应符合国家强制性技术标准，对质量不合格和不符合使用要求的，需向投标人提出退货和更换，决不允许不合格品流入。</w:t>
      </w:r>
    </w:p>
    <w:p>
      <w:pPr>
        <w:pStyle w:val="15"/>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yellow"/>
          <w:lang w:eastAsia="zh-CN"/>
        </w:rPr>
      </w:pPr>
      <w:r>
        <w:rPr>
          <w:rFonts w:hint="eastAsia" w:ascii="仿宋_GB2312" w:hAnsi="仿宋_GB2312" w:eastAsia="仿宋_GB2312" w:cs="仿宋_GB2312"/>
          <w:bCs/>
          <w:sz w:val="32"/>
          <w:szCs w:val="32"/>
          <w:highlight w:val="none"/>
        </w:rPr>
        <w:t>要求投标人提供产品质量检测报告及卫生合格报告书，肉类产品应提供当地卫生部门开具的动物检验检疫合格票、产品检疫合格证，证明内容与产品内容要一致。投标人以提供原件为主，不能留原件的提供复印件。</w:t>
      </w:r>
      <w:r>
        <w:rPr>
          <w:rFonts w:hint="eastAsia" w:ascii="仿宋_GB2312" w:hAnsi="仿宋_GB2312" w:eastAsia="仿宋_GB2312" w:cs="仿宋_GB2312"/>
          <w:bCs/>
          <w:sz w:val="32"/>
          <w:szCs w:val="32"/>
          <w:highlight w:val="none"/>
          <w:lang w:eastAsia="zh-CN"/>
        </w:rPr>
        <w:t>投标人所供应各类食材需具有追踪溯源体系，并可追踪溯源。</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（4）发现食品安全质量问题的处理</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抽查时发现食品质量不过关或影响食用安全的，对当日所送同批次产品全部退货。</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若抽查未发现问题，按储藏要求储藏后在加工食用前发现产品质量问题的，投标人必须退货或更换。</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4.退（补）货流程</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对不符合采购要求的货物，由验收人员直接向投标人提出退（补）货申请，投标人按照申请内容给予退（补）货。发现质量隐患，但双方对质量或重量有争议的可送具有检验资质的部门检测，检测费用由投标人承担。对数量不足或退货的，投标人</w:t>
      </w:r>
      <w:r>
        <w:rPr>
          <w:rFonts w:hint="eastAsia" w:ascii="仿宋_GB2312" w:hAnsi="Times New Roman" w:eastAsia="仿宋_GB2312" w:cs="Times New Roman"/>
          <w:snapToGrid w:val="0"/>
          <w:color w:val="auto"/>
          <w:kern w:val="0"/>
          <w:sz w:val="32"/>
          <w:szCs w:val="32"/>
          <w:highlight w:val="none"/>
          <w:lang w:eastAsia="zh-CN"/>
        </w:rPr>
        <w:t>应于</w:t>
      </w:r>
      <w:r>
        <w:rPr>
          <w:rFonts w:hint="eastAsia" w:ascii="仿宋_GB2312" w:hAnsi="Times New Roman" w:eastAsia="仿宋_GB2312" w:cs="Times New Roman"/>
          <w:snapToGrid w:val="0"/>
          <w:color w:val="auto"/>
          <w:kern w:val="0"/>
          <w:sz w:val="32"/>
          <w:szCs w:val="32"/>
          <w:highlight w:val="none"/>
          <w:lang w:val="en-US" w:eastAsia="zh-CN"/>
        </w:rPr>
        <w:t>2</w:t>
      </w:r>
      <w:r>
        <w:rPr>
          <w:rFonts w:hint="eastAsia" w:ascii="仿宋_GB2312" w:hAnsi="仿宋_GB2312" w:eastAsia="仿宋_GB2312" w:cs="仿宋_GB2312"/>
          <w:bCs/>
          <w:sz w:val="32"/>
          <w:szCs w:val="32"/>
          <w:highlight w:val="none"/>
        </w:rPr>
        <w:t>时内补送订单品种。</w:t>
      </w:r>
    </w:p>
    <w:p>
      <w:pPr>
        <w:pStyle w:val="15"/>
        <w:overflowPunct w:val="0"/>
        <w:adjustRightInd w:val="0"/>
        <w:snapToGrid w:val="0"/>
        <w:spacing w:after="0" w:line="560" w:lineRule="exact"/>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5</w:t>
      </w:r>
      <w:r>
        <w:rPr>
          <w:rFonts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rPr>
        <w:t>包装带箱、筐的食材按照去除箱、筐后的重量计算。投标人需配合采购人库管人员进行倒筐称重，共同签字确认。</w:t>
      </w:r>
    </w:p>
    <w:p>
      <w:pPr>
        <w:pStyle w:val="15"/>
        <w:keepNext w:val="0"/>
        <w:overflowPunct w:val="0"/>
        <w:adjustRightInd w:val="0"/>
        <w:snapToGrid w:val="0"/>
        <w:spacing w:before="0" w:after="0" w:line="560" w:lineRule="exact"/>
        <w:ind w:firstLine="640" w:firstLineChars="200"/>
        <w:jc w:val="both"/>
        <w:rPr>
          <w:rFonts w:hint="eastAsia" w:ascii="仿宋_GB2312" w:hAnsi="仿宋_GB2312" w:eastAsia="仿宋_GB2312" w:cs="仿宋_GB2312"/>
          <w:bCs/>
          <w:i w:val="0"/>
          <w:iCs w:val="0"/>
          <w:sz w:val="32"/>
          <w:szCs w:val="32"/>
          <w:highlight w:val="none"/>
        </w:rPr>
      </w:pPr>
      <w:r>
        <w:rPr>
          <w:rFonts w:hint="eastAsia" w:ascii="仿宋_GB2312" w:hAnsi="仿宋_GB2312" w:eastAsia="仿宋_GB2312" w:cs="仿宋_GB2312"/>
          <w:bCs/>
          <w:i w:val="0"/>
          <w:iCs w:val="0"/>
          <w:sz w:val="32"/>
          <w:szCs w:val="32"/>
          <w:highlight w:val="none"/>
          <w:lang w:val="en-US" w:eastAsia="zh-CN"/>
        </w:rPr>
        <w:t>6</w:t>
      </w:r>
      <w:r>
        <w:rPr>
          <w:rFonts w:hint="eastAsia" w:ascii="仿宋_GB2312" w:hAnsi="仿宋_GB2312" w:eastAsia="仿宋_GB2312" w:cs="仿宋_GB2312"/>
          <w:bCs/>
          <w:i w:val="0"/>
          <w:iCs w:val="0"/>
          <w:sz w:val="32"/>
          <w:szCs w:val="32"/>
          <w:highlight w:val="none"/>
        </w:rPr>
        <w:t>. 食材供应考核标准</w:t>
      </w:r>
    </w:p>
    <w:p>
      <w:pPr>
        <w:pStyle w:val="35"/>
        <w:spacing w:before="0" w:after="0" w:line="360" w:lineRule="auto"/>
        <w:ind w:left="0" w:right="0" w:firstLine="640"/>
        <w:jc w:val="both"/>
        <w:rPr>
          <w:highlight w:val="none"/>
        </w:rPr>
      </w:pPr>
      <w:r>
        <w:rPr>
          <w:rFonts w:ascii="仿宋_GB2312" w:hAnsi="仿宋_GB2312" w:eastAsia="仿宋_GB2312" w:cs="仿宋_GB2312"/>
          <w:spacing w:val="0"/>
          <w:sz w:val="32"/>
          <w:szCs w:val="32"/>
          <w:highlight w:val="none"/>
        </w:rPr>
        <w:t>采购人监督检查</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食材供应的执行情况，每月1个考核周期，一共12个考核周期，</w:t>
      </w:r>
      <w:r>
        <w:rPr>
          <w:rFonts w:ascii="仿宋_GB2312" w:hAnsi="仿宋_GB2312" w:eastAsia="仿宋_GB2312" w:cs="仿宋_GB2312"/>
          <w:sz w:val="32"/>
          <w:szCs w:val="32"/>
          <w:lang w:eastAsia="zh-CN"/>
        </w:rPr>
        <w:t>每周期进行一次考核评定，</w:t>
      </w:r>
      <w:r>
        <w:rPr>
          <w:rFonts w:ascii="仿宋_GB2312" w:hAnsi="仿宋_GB2312" w:eastAsia="仿宋_GB2312" w:cs="仿宋_GB2312"/>
          <w:spacing w:val="0"/>
          <w:sz w:val="32"/>
          <w:szCs w:val="32"/>
          <w:highlight w:val="none"/>
        </w:rPr>
        <w:t>并将考核结果与考核周期的货款结算挂钩。</w:t>
      </w:r>
    </w:p>
    <w:p>
      <w:pPr>
        <w:pStyle w:val="35"/>
        <w:spacing w:before="0" w:after="0" w:line="360" w:lineRule="auto"/>
        <w:ind w:left="0" w:right="0" w:firstLine="640"/>
        <w:jc w:val="both"/>
        <w:rPr>
          <w:highlight w:val="none"/>
        </w:rPr>
      </w:pPr>
      <w:r>
        <w:rPr>
          <w:rFonts w:ascii="仿宋_GB2312" w:hAnsi="仿宋_GB2312" w:eastAsia="仿宋_GB2312" w:cs="仿宋_GB2312"/>
          <w:spacing w:val="0"/>
          <w:sz w:val="32"/>
          <w:szCs w:val="32"/>
          <w:highlight w:val="none"/>
        </w:rPr>
        <w:t>采购人考核部门应于每一个考核周期的最后一日前完成（节假日顺延）对</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的考核，填写《食材供应考核表》，</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与采购人现场签名确认；</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对查实情况拒绝签名确认的，由采购人对情况做出书面说明，以此为依据有权直接扣分。</w:t>
      </w:r>
    </w:p>
    <w:p>
      <w:pPr>
        <w:pStyle w:val="34"/>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①考核得分≥95分的为合格，采购人按全额支付中标人当期货款,不予扣罚，中标人应针对扣分较多项目进行限期整改。</w:t>
      </w:r>
    </w:p>
    <w:p>
      <w:pPr>
        <w:pStyle w:val="34"/>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②70分≤考核得分&lt;95分的，按考核分数，比95分每低1分，采购人按当月货款的千分之一（0.1%）累计扣减，中标人针对扣分较多项目进行限期整改至合格（不得再次出现本月扣分项目且下月考核高于95分）。</w:t>
      </w:r>
    </w:p>
    <w:p>
      <w:pPr>
        <w:pStyle w:val="34"/>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③考核得分&lt;70分的，按考核分数，比95分每低1分，采购人按当月货款的千分之二（0.2%）累计扣减，甲方有权限期中标人一个月内整改合格（下月考核高于95分）。</w:t>
      </w:r>
    </w:p>
    <w:p>
      <w:pPr>
        <w:pStyle w:val="34"/>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标人按照采购人要求，在规定期限内整改合格的，不作为违约；中标人逾期没有整改合格的，将按照合同约定追究违约责任，严重的采购人有权解除合同，中标人将按照合同承担由此产生的损失及违约责任，并配合采购人完成相关工作衔接。</w:t>
      </w:r>
    </w:p>
    <w:p>
      <w:pPr>
        <w:pStyle w:val="34"/>
        <w:spacing w:before="0" w:after="0" w:line="360" w:lineRule="auto"/>
        <w:ind w:firstLine="64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考核评定内容详见《食材供应考核表》。</w:t>
      </w:r>
    </w:p>
    <w:p>
      <w:pPr>
        <w:pStyle w:val="34"/>
        <w:spacing w:before="0" w:after="0" w:line="360" w:lineRule="auto"/>
        <w:ind w:firstLine="640"/>
        <w:rPr>
          <w:rFonts w:ascii="仿宋_GB2312" w:hAnsi="仿宋_GB2312" w:eastAsia="仿宋_GB2312" w:cs="仿宋_GB2312"/>
          <w:sz w:val="32"/>
          <w:szCs w:val="32"/>
          <w:highlight w:val="none"/>
        </w:rPr>
      </w:pPr>
    </w:p>
    <w:p>
      <w:pPr>
        <w:pStyle w:val="35"/>
        <w:spacing w:before="0" w:after="0" w:line="360" w:lineRule="auto"/>
        <w:ind w:left="0" w:right="0" w:firstLine="640"/>
        <w:jc w:val="center"/>
        <w:rPr>
          <w:highlight w:val="none"/>
        </w:rPr>
      </w:pPr>
      <w:r>
        <w:rPr>
          <w:rFonts w:ascii="楷体" w:hAnsi="楷体" w:eastAsia="楷体" w:cs="楷体"/>
          <w:b/>
          <w:bCs/>
          <w:spacing w:val="0"/>
          <w:sz w:val="32"/>
          <w:szCs w:val="32"/>
          <w:highlight w:val="none"/>
        </w:rPr>
        <w:t>食材供应考核表</w:t>
      </w:r>
    </w:p>
    <w:tbl>
      <w:tblPr>
        <w:tblStyle w:val="7"/>
        <w:tblW w:w="8515" w:type="dxa"/>
        <w:tblCellSpacing w:w="0" w:type="dxa"/>
        <w:tblInd w:w="128" w:type="dxa"/>
        <w:tblLayout w:type="fixed"/>
        <w:tblCellMar>
          <w:top w:w="15" w:type="dxa"/>
          <w:left w:w="15" w:type="dxa"/>
          <w:bottom w:w="15" w:type="dxa"/>
          <w:right w:w="15" w:type="dxa"/>
        </w:tblCellMar>
      </w:tblPr>
      <w:tblGrid>
        <w:gridCol w:w="563"/>
        <w:gridCol w:w="690"/>
        <w:gridCol w:w="4652"/>
        <w:gridCol w:w="1530"/>
        <w:gridCol w:w="1080"/>
      </w:tblGrid>
      <w:tr>
        <w:tblPrEx>
          <w:tblCellMar>
            <w:top w:w="15" w:type="dxa"/>
            <w:left w:w="15" w:type="dxa"/>
            <w:bottom w:w="15" w:type="dxa"/>
            <w:right w:w="15" w:type="dxa"/>
          </w:tblCellMar>
        </w:tblPrEx>
        <w:trPr>
          <w:trHeight w:val="270" w:hRule="atLeast"/>
          <w:tblCellSpacing w:w="0" w:type="dxa"/>
        </w:trPr>
        <w:tc>
          <w:tcPr>
            <w:tcW w:w="563" w:type="dxa"/>
            <w:tcBorders>
              <w:top w:val="single" w:color="000000" w:sz="8" w:space="0"/>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序号</w:t>
            </w:r>
          </w:p>
        </w:tc>
        <w:tc>
          <w:tcPr>
            <w:tcW w:w="690" w:type="dxa"/>
            <w:tcBorders>
              <w:top w:val="single" w:color="000000" w:sz="8" w:space="0"/>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考核类别</w:t>
            </w:r>
          </w:p>
        </w:tc>
        <w:tc>
          <w:tcPr>
            <w:tcW w:w="4652" w:type="dxa"/>
            <w:tcBorders>
              <w:top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扣分项</w:t>
            </w:r>
          </w:p>
        </w:tc>
        <w:tc>
          <w:tcPr>
            <w:tcW w:w="1530" w:type="dxa"/>
            <w:tcBorders>
              <w:top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备注</w:t>
            </w:r>
          </w:p>
        </w:tc>
        <w:tc>
          <w:tcPr>
            <w:tcW w:w="1080" w:type="dxa"/>
            <w:tcBorders>
              <w:top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当月考核结果</w:t>
            </w: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p>
        </w:tc>
        <w:tc>
          <w:tcPr>
            <w:tcW w:w="690" w:type="dxa"/>
            <w:vMerge w:val="restart"/>
            <w:tcBorders>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货品质量（40分）</w:t>
            </w: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重大质量问题：货品过期、腐烂、变质等质量问题，单次比例＜5%，每次扣8分；5%≤单次比例＜10%，每次扣15分；单次比例≥10%，每次扣30分。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1080" w:type="dxa"/>
            <w:vMerge w:val="restart"/>
            <w:tcBorders>
              <w:bottom w:val="nil"/>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 </w:t>
            </w: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w:t>
            </w:r>
          </w:p>
        </w:tc>
        <w:tc>
          <w:tcPr>
            <w:tcW w:w="690" w:type="dxa"/>
            <w:vMerge w:val="continue"/>
            <w:tcBorders>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重大质量问题：预包装食品外包装有破损、脏污的，每次扣10分。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p>
        </w:tc>
        <w:tc>
          <w:tcPr>
            <w:tcW w:w="1080" w:type="dxa"/>
            <w:vMerge w:val="continue"/>
            <w:tcBorders>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rPr>
                <w:rFonts w:hint="default" w:ascii="Times New Roman" w:hAnsi="Times New Roman" w:eastAsia="宋体" w:cs="Times New Roman"/>
                <w:color w:val="000000"/>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重大质量问题：货品不符合质量检验标准、以次充好、掺假，每次扣10分。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4</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一般质量问题：货品无法提供合格齐全的资质及检测报告，每次扣3分。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5</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轻微质量问题：货品名称、品牌、规格不符合采购人订单收货标准，每次扣2分。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特殊天气、季节原因应提前得到甲方认可，可免除罚款。品项标准经双方现场确认签字即可有效。</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6</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轻微质量问题：实际送货数量（重量）与订单数量（重量）差异超过5%，每次扣2分。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both"/>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9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7</w:t>
            </w:r>
          </w:p>
        </w:tc>
        <w:tc>
          <w:tcPr>
            <w:tcW w:w="690" w:type="dxa"/>
            <w:vMerge w:val="continue"/>
            <w:tcBorders>
              <w:bottom w:val="single" w:color="000000" w:sz="8" w:space="0"/>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wordWrap/>
              <w:bidi w:val="0"/>
              <w:spacing w:before="120" w:beforeAutospacing="0" w:after="0" w:afterAutospacing="0" w:line="360" w:lineRule="auto"/>
              <w:ind w:left="0" w:leftChars="0" w:right="0" w:rightChars="0" w:firstLine="0" w:firstLineChars="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其他影响合同履行的货品质量问题，视问题严重程度按照上述标准扣分。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p>
        </w:tc>
        <w:tc>
          <w:tcPr>
            <w:tcW w:w="1080" w:type="dxa"/>
            <w:tcBorders>
              <w:bottom w:val="single" w:color="000000" w:sz="8" w:space="0"/>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8</w:t>
            </w:r>
          </w:p>
        </w:tc>
        <w:tc>
          <w:tcPr>
            <w:tcW w:w="690" w:type="dxa"/>
            <w:vMerge w:val="restart"/>
            <w:tcBorders>
              <w:bottom w:val="nil"/>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交期（20分）</w:t>
            </w: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未在规定时间内完成交货，造成交货迟到的，每迟到10分钟扣1分。</w:t>
            </w:r>
          </w:p>
        </w:tc>
        <w:tc>
          <w:tcPr>
            <w:tcW w:w="1530" w:type="dxa"/>
            <w:vMerge w:val="restart"/>
            <w:tcBorders>
              <w:bottom w:val="nil"/>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特殊天气、季节原因应提前得到甲方认可，可免除罚款。</w:t>
            </w:r>
          </w:p>
        </w:tc>
        <w:tc>
          <w:tcPr>
            <w:tcW w:w="1080" w:type="dxa"/>
            <w:vMerge w:val="restart"/>
            <w:tcBorders>
              <w:bottom w:val="nil"/>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 </w:t>
            </w: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zh-CN" w:bidi="ar-SA"/>
              </w:rPr>
              <w:t>9</w:t>
            </w:r>
          </w:p>
        </w:tc>
        <w:tc>
          <w:tcPr>
            <w:tcW w:w="690" w:type="dxa"/>
            <w:vMerge w:val="continue"/>
            <w:tcBorders>
              <w:bottom w:val="single" w:color="000000" w:sz="8" w:space="0"/>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未在规定时间内完成补货、换货的，每迟到10分钟扣1分。</w:t>
            </w:r>
          </w:p>
        </w:tc>
        <w:tc>
          <w:tcPr>
            <w:tcW w:w="1530" w:type="dxa"/>
            <w:vMerge w:val="continue"/>
            <w:tcBorders>
              <w:bottom w:val="single" w:color="000000" w:sz="8" w:space="0"/>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zh-CN" w:bidi="ar-SA"/>
              </w:rPr>
            </w:pPr>
          </w:p>
        </w:tc>
        <w:tc>
          <w:tcPr>
            <w:tcW w:w="1080" w:type="dxa"/>
            <w:vMerge w:val="continue"/>
            <w:tcBorders>
              <w:bottom w:val="single" w:color="000000" w:sz="8" w:space="0"/>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604"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10</w:t>
            </w:r>
          </w:p>
        </w:tc>
        <w:tc>
          <w:tcPr>
            <w:tcW w:w="690" w:type="dxa"/>
            <w:vMerge w:val="restart"/>
            <w:tcBorders>
              <w:bottom w:val="nil"/>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p>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p>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p>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p>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服务（40分）</w:t>
            </w: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高风险行为：未按采购人要求退换货或补货商品，拒绝退货、换货、补货，每次扣10分。</w:t>
            </w:r>
          </w:p>
        </w:tc>
        <w:tc>
          <w:tcPr>
            <w:tcW w:w="1530" w:type="dxa"/>
            <w:vMerge w:val="restart"/>
            <w:tcBorders>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立即更换涉事人员，永不复用于本项目。</w:t>
            </w:r>
          </w:p>
        </w:tc>
        <w:tc>
          <w:tcPr>
            <w:tcW w:w="1080" w:type="dxa"/>
            <w:vMerge w:val="restart"/>
            <w:tcBorders>
              <w:bottom w:val="nil"/>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 </w:t>
            </w: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1</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高风险行为：送货时故意损坏、故意错拿或偷拿采购人货品，或送货时谎报市场信息，每次扣8分。</w:t>
            </w:r>
          </w:p>
        </w:tc>
        <w:tc>
          <w:tcPr>
            <w:tcW w:w="1530" w:type="dxa"/>
            <w:vMerge w:val="continue"/>
            <w:tcBorders>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2</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高风险行为：配送司机在工作过程中发生语言及肢体冲突，每次扣8分。</w:t>
            </w:r>
          </w:p>
        </w:tc>
        <w:tc>
          <w:tcPr>
            <w:tcW w:w="1530" w:type="dxa"/>
            <w:vMerge w:val="continue"/>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3</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一般风险行为：虚报价格，报价高于合同计算价格，每次扣4分。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按合同价格结算该批货款。</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4</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一般风险行为：市场缺货和到货信息未及时告知采购人，或谎报市场信息，每次扣3分。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5</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一般风险行为：订单供应不全，每少一个品种扣3分。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rPr>
                <w:rFonts w:hint="default" w:ascii="仿宋_GB2312" w:hAnsi="仿宋_GB2312" w:eastAsia="仿宋_GB2312" w:cs="仿宋_GB2312"/>
                <w:kern w:val="0"/>
                <w:sz w:val="21"/>
                <w:szCs w:val="21"/>
                <w:highlight w:val="none"/>
                <w:lang w:val="en-US" w:eastAsia="zh-CN" w:bidi="ar-SA"/>
              </w:rPr>
            </w:pP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6</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操作规范行为：配送车辆未在采购人指定地点停放，在采购人停车场故意鸣笛，每次扣3分。</w:t>
            </w:r>
          </w:p>
        </w:tc>
        <w:tc>
          <w:tcPr>
            <w:tcW w:w="1530" w:type="dxa"/>
            <w:tcBorders>
              <w:bottom w:val="nil"/>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由乙方承担因不遵守甲方要求产生的全部责任和赔偿，包括但不限于周边居民投诉赔偿、阻碍消防通道责任等。</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7</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操作规范行为：货品配送时乱扔乱放压坏货品或未按照采购人要求将货品随意码放，每次扣3分。</w:t>
            </w:r>
          </w:p>
        </w:tc>
        <w:tc>
          <w:tcPr>
            <w:tcW w:w="1530" w:type="dxa"/>
            <w:tcBorders>
              <w:bottom w:val="single" w:color="000000" w:sz="8"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需承担压坏导致的费用。</w:t>
            </w:r>
          </w:p>
        </w:tc>
        <w:tc>
          <w:tcPr>
            <w:tcW w:w="1080" w:type="dxa"/>
            <w:vMerge w:val="continue"/>
            <w:tcBorders>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auto" w:sz="4"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18</w:t>
            </w:r>
          </w:p>
        </w:tc>
        <w:tc>
          <w:tcPr>
            <w:tcW w:w="690" w:type="dxa"/>
            <w:vMerge w:val="continue"/>
            <w:tcBorders>
              <w:bottom w:val="single" w:color="auto" w:sz="4" w:space="0"/>
              <w:right w:val="single" w:color="000000" w:sz="8" w:space="0"/>
            </w:tcBorders>
            <w:noWrap w:val="0"/>
            <w:tcMar>
              <w:top w:w="0" w:type="dxa"/>
              <w:left w:w="118" w:type="dxa"/>
              <w:bottom w:w="0" w:type="dxa"/>
              <w:right w:w="118" w:type="dxa"/>
            </w:tcMar>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auto" w:sz="4" w:space="0"/>
              <w:right w:val="single" w:color="000000" w:sz="8" w:space="0"/>
            </w:tcBorders>
            <w:noWrap/>
            <w:tcMar>
              <w:top w:w="0" w:type="dxa"/>
              <w:left w:w="10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其他影响合同履行的服务问题，视问题严重程度按照上述标准扣分。</w:t>
            </w:r>
          </w:p>
        </w:tc>
        <w:tc>
          <w:tcPr>
            <w:tcW w:w="1530" w:type="dxa"/>
            <w:tcBorders>
              <w:bottom w:val="single" w:color="auto" w:sz="4" w:space="0"/>
              <w:right w:val="single" w:color="000000" w:sz="8" w:space="0"/>
            </w:tcBorders>
            <w:noWrap/>
            <w:tcMar>
              <w:top w:w="0" w:type="dxa"/>
              <w:left w:w="118" w:type="dxa"/>
              <w:bottom w:w="0" w:type="dxa"/>
              <w:right w:w="118" w:type="dxa"/>
            </w:tcMar>
            <w:vAlign w:val="center"/>
          </w:tcPr>
          <w:p>
            <w:pPr>
              <w:pStyle w:val="34"/>
              <w:keepNext w:val="0"/>
              <w:keepLines w:val="0"/>
              <w:pageBreakBefore w:val="0"/>
              <w:suppressLineNumbers w:val="0"/>
              <w:wordWrap/>
              <w:bidi w:val="0"/>
              <w:spacing w:before="0" w:beforeAutospacing="0" w:after="160" w:afterAutospacing="0" w:line="360" w:lineRule="auto"/>
              <w:ind w:left="0" w:right="0"/>
              <w:textAlignment w:val="center"/>
              <w:rPr>
                <w:rFonts w:hint="default" w:ascii="仿宋_GB2312" w:hAnsi="仿宋_GB2312" w:eastAsia="仿宋_GB2312" w:cs="仿宋_GB2312"/>
                <w:kern w:val="0"/>
                <w:sz w:val="21"/>
                <w:szCs w:val="21"/>
                <w:highlight w:val="none"/>
                <w:lang w:val="en-US" w:eastAsia="zh-CN" w:bidi="ar-SA"/>
              </w:rPr>
            </w:pPr>
          </w:p>
        </w:tc>
        <w:tc>
          <w:tcPr>
            <w:tcW w:w="1080" w:type="dxa"/>
            <w:vMerge w:val="continue"/>
            <w:tcBorders>
              <w:bottom w:val="single" w:color="auto" w:sz="4" w:space="0"/>
              <w:right w:val="single" w:color="000000" w:sz="8" w:space="0"/>
            </w:tcBorders>
            <w:noWrap w:val="0"/>
            <w:vAlign w:val="center"/>
          </w:tcPr>
          <w:p>
            <w:pPr>
              <w:pStyle w:val="9"/>
              <w:keepNext w:val="0"/>
              <w:keepLines w:val="0"/>
              <w:pageBreakBefore w:val="0"/>
              <w:suppressLineNumbers w:val="0"/>
              <w:wordWrap/>
              <w:bidi w:val="0"/>
              <w:spacing w:before="0" w:beforeAutospacing="0" w:afterAutospacing="0" w:line="360" w:lineRule="auto"/>
              <w:ind w:left="0" w:right="0"/>
              <w:rPr>
                <w:rFonts w:hint="default" w:ascii="Times New Roman" w:hAnsi="Times New Roman" w:eastAsia="宋体" w:cs="Times New Roman"/>
                <w:color w:val="000000"/>
                <w:kern w:val="2"/>
                <w:sz w:val="21"/>
                <w:szCs w:val="21"/>
                <w:highlight w:val="none"/>
                <w:lang w:eastAsia="zh-CN"/>
              </w:rPr>
            </w:pPr>
          </w:p>
        </w:tc>
      </w:tr>
    </w:tbl>
    <w:p>
      <w:pPr>
        <w:pStyle w:val="28"/>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8其他要求</w:t>
      </w:r>
    </w:p>
    <w:p>
      <w:pPr>
        <w:pStyle w:val="29"/>
        <w:keepNext w:val="0"/>
        <w:spacing w:before="0" w:after="0" w:line="360" w:lineRule="auto"/>
        <w:rPr>
          <w:rFonts w:ascii="仿宋_GB2312" w:hAnsi="仿宋_GB2312" w:eastAsia="仿宋_GB2312" w:cs="仿宋_GB2312"/>
          <w:b/>
          <w:bCs/>
          <w:sz w:val="32"/>
          <w:szCs w:val="28"/>
          <w:highlight w:val="none"/>
        </w:rPr>
      </w:pPr>
      <w:r>
        <w:rPr>
          <w:rFonts w:ascii="仿宋_GB2312" w:hAnsi="仿宋_GB2312" w:eastAsia="仿宋_GB2312" w:cs="仿宋_GB2312"/>
          <w:i w:val="0"/>
          <w:iCs w:val="0"/>
          <w:sz w:val="32"/>
          <w:highlight w:val="none"/>
        </w:rPr>
        <w:t>8.1必备要求</w:t>
      </w:r>
    </w:p>
    <w:p>
      <w:pPr>
        <w:pStyle w:val="30"/>
        <w:keepNext w:val="0"/>
        <w:spacing w:before="0" w:after="0" w:line="360" w:lineRule="auto"/>
        <w:rPr>
          <w:rFonts w:ascii="仿宋_GB2312" w:hAnsi="仿宋_GB2312" w:eastAsia="仿宋_GB2312" w:cs="仿宋_GB2312"/>
          <w:sz w:val="32"/>
          <w:szCs w:val="28"/>
          <w:highlight w:val="none"/>
        </w:rPr>
      </w:pPr>
      <w:r>
        <w:rPr>
          <w:rFonts w:ascii="仿宋_GB2312" w:hAnsi="仿宋_GB2312" w:eastAsia="仿宋_GB2312" w:cs="仿宋_GB2312"/>
          <w:sz w:val="32"/>
          <w:szCs w:val="28"/>
          <w:highlight w:val="none"/>
        </w:rPr>
        <w:t>8.1.1通用必备要求</w:t>
      </w:r>
    </w:p>
    <w:p>
      <w:pPr>
        <w:pStyle w:val="9"/>
        <w:spacing w:before="0" w:after="0" w:line="360" w:lineRule="auto"/>
        <w:ind w:firstLine="561"/>
        <w:rPr>
          <w:rFonts w:ascii="仿宋_GB2312" w:hAnsi="仿宋_GB2312" w:eastAsia="仿宋_GB2312" w:cs="仿宋_GB2312"/>
          <w:sz w:val="32"/>
          <w:szCs w:val="28"/>
          <w:highlight w:val="none"/>
        </w:rPr>
      </w:pPr>
      <w:r>
        <w:rPr>
          <w:rFonts w:ascii="仿宋_GB2312" w:hAnsi="仿宋_GB2312" w:eastAsia="仿宋_GB2312" w:cs="仿宋_GB2312"/>
          <w:sz w:val="32"/>
          <w:szCs w:val="28"/>
          <w:highlight w:val="none"/>
        </w:rPr>
        <w:t xml:space="preserve">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 </w:t>
      </w:r>
    </w:p>
    <w:p>
      <w:pPr>
        <w:pStyle w:val="9"/>
        <w:spacing w:before="0" w:after="0" w:line="360" w:lineRule="auto"/>
        <w:ind w:firstLine="561"/>
      </w:pPr>
      <w:r>
        <w:rPr>
          <w:rFonts w:ascii="仿宋_GB2312" w:hAnsi="仿宋_GB2312" w:eastAsia="仿宋_GB2312" w:cs="仿宋_GB2312"/>
          <w:sz w:val="32"/>
          <w:szCs w:val="28"/>
          <w:highlight w:val="none"/>
        </w:rPr>
        <w:t>以上相关要求，由供应商在响应时应答，在履约验收中，采购人将按照采购文件、中标/成交供应商响应文件、采购合同等对中标/成交供应商提供的货物和服务进行验收，必要时依法依规开展相应检测、认证。</w:t>
      </w:r>
    </w:p>
    <w:p>
      <w:pPr>
        <w:keepNext w:val="0"/>
        <w:spacing w:before="0" w:after="0" w:line="360" w:lineRule="auto"/>
        <w:outlineLvl w:val="1"/>
        <w:rPr>
          <w:rFonts w:ascii="仿宋_GB2312" w:hAnsi="仿宋_GB2312" w:eastAsia="仿宋_GB2312" w:cs="仿宋_GB2312"/>
          <w:b/>
          <w:bCs/>
          <w:i/>
          <w:iCs/>
          <w:color w:val="auto"/>
          <w:sz w:val="28"/>
          <w:szCs w:val="28"/>
          <w:highlight w:val="none"/>
          <w:lang w:val="en-US" w:eastAsia="en-US" w:bidi="ar-SA"/>
        </w:rPr>
      </w:pPr>
      <w:bookmarkStart w:id="7" w:name="_Toc256000036"/>
      <w:r>
        <w:rPr>
          <w:rFonts w:ascii="仿宋_GB2312" w:hAnsi="仿宋_GB2312" w:eastAsia="仿宋_GB2312" w:cs="仿宋_GB2312"/>
          <w:b/>
          <w:bCs/>
          <w:i w:val="0"/>
          <w:iCs w:val="0"/>
          <w:color w:val="auto"/>
          <w:sz w:val="28"/>
          <w:szCs w:val="28"/>
          <w:highlight w:val="none"/>
          <w:lang w:val="en-US" w:eastAsia="en-US" w:bidi="ar-SA"/>
        </w:rPr>
        <w:t>8.2付款安排建议</w:t>
      </w:r>
      <w:bookmarkEnd w:id="7"/>
    </w:p>
    <w:tbl>
      <w:tblPr>
        <w:tblStyle w:val="7"/>
        <w:tblW w:w="5000" w:type="pct"/>
        <w:tblInd w:w="28" w:type="dxa"/>
        <w:tblLayout w:type="autofit"/>
        <w:tblCellMar>
          <w:top w:w="15" w:type="dxa"/>
          <w:left w:w="15" w:type="dxa"/>
          <w:bottom w:w="15" w:type="dxa"/>
          <w:right w:w="15" w:type="dxa"/>
        </w:tblCellMar>
      </w:tblPr>
      <w:tblGrid>
        <w:gridCol w:w="2505"/>
        <w:gridCol w:w="3340"/>
        <w:gridCol w:w="2505"/>
      </w:tblGrid>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auto"/>
                <w:kern w:val="0"/>
                <w:sz w:val="21"/>
                <w:szCs w:val="20"/>
                <w:highlight w:val="none"/>
                <w:lang w:eastAsia="en-US"/>
              </w:rPr>
            </w:pPr>
            <w:r>
              <w:rPr>
                <w:rFonts w:hint="default" w:ascii="仿宋_GB2312" w:hAnsi="仿宋_GB2312" w:eastAsia="仿宋_GB2312" w:cs="仿宋_GB2312"/>
                <w:b/>
                <w:bCs/>
                <w:i w:val="0"/>
                <w:iCs w:val="0"/>
                <w:smallCaps w:val="0"/>
                <w:color w:val="auto"/>
                <w:kern w:val="0"/>
                <w:sz w:val="21"/>
                <w:szCs w:val="21"/>
                <w:highlight w:val="none"/>
                <w:lang w:eastAsia="en-US"/>
              </w:rPr>
              <w:t>付款名称</w:t>
            </w:r>
          </w:p>
        </w:tc>
        <w:tc>
          <w:tcPr>
            <w:tcW w:w="2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auto"/>
                <w:kern w:val="0"/>
                <w:sz w:val="21"/>
                <w:szCs w:val="20"/>
                <w:highlight w:val="none"/>
                <w:lang w:eastAsia="en-US"/>
              </w:rPr>
            </w:pPr>
            <w:r>
              <w:rPr>
                <w:rFonts w:hint="default" w:ascii="仿宋_GB2312" w:hAnsi="仿宋_GB2312" w:eastAsia="仿宋_GB2312" w:cs="仿宋_GB2312"/>
                <w:b/>
                <w:bCs/>
                <w:i w:val="0"/>
                <w:iCs w:val="0"/>
                <w:smallCaps w:val="0"/>
                <w:color w:val="auto"/>
                <w:kern w:val="0"/>
                <w:sz w:val="21"/>
                <w:szCs w:val="21"/>
                <w:highlight w:val="none"/>
                <w:lang w:eastAsia="en-US"/>
              </w:rPr>
              <w:t>付款要求</w:t>
            </w:r>
          </w:p>
        </w:tc>
        <w:tc>
          <w:tcPr>
            <w:tcW w:w="1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center"/>
              <w:rPr>
                <w:rFonts w:hint="default" w:ascii="仿宋_GB2312" w:hAnsi="仿宋_GB2312" w:eastAsia="仿宋_GB2312" w:cs="仿宋_GB2312"/>
                <w:b/>
                <w:bCs/>
                <w:i w:val="0"/>
                <w:iCs w:val="0"/>
                <w:smallCaps w:val="0"/>
                <w:color w:val="auto"/>
                <w:kern w:val="0"/>
                <w:sz w:val="21"/>
                <w:szCs w:val="20"/>
                <w:highlight w:val="none"/>
                <w:lang w:eastAsia="en-US"/>
              </w:rPr>
            </w:pPr>
            <w:r>
              <w:rPr>
                <w:rFonts w:hint="default" w:ascii="仿宋_GB2312" w:hAnsi="仿宋_GB2312" w:eastAsia="仿宋_GB2312" w:cs="仿宋_GB2312"/>
                <w:b/>
                <w:bCs/>
                <w:i w:val="0"/>
                <w:iCs w:val="0"/>
                <w:smallCaps w:val="0"/>
                <w:color w:val="auto"/>
                <w:kern w:val="0"/>
                <w:sz w:val="21"/>
                <w:szCs w:val="21"/>
                <w:highlight w:val="none"/>
                <w:lang w:eastAsia="en-US"/>
              </w:rPr>
              <w:t>付款比例(%)</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第1次付款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第2次付款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第3次付款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第4次付款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第5次付款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第6次付款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第7次付款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第8次付款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第9次付款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val="en-US" w:eastAsia="zh-CN"/>
              </w:rPr>
            </w:pPr>
            <w:r>
              <w:rPr>
                <w:rFonts w:hint="default"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第10次付款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val="en-US" w:eastAsia="zh-CN"/>
              </w:rPr>
            </w:pPr>
            <w:r>
              <w:rPr>
                <w:rFonts w:hint="default"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第11次付款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val="en-US" w:eastAsia="zh-CN"/>
              </w:rPr>
            </w:pPr>
            <w:r>
              <w:rPr>
                <w:rFonts w:hint="default"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第12次付款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eastAsia="en-US"/>
              </w:rPr>
            </w:pPr>
            <w:r>
              <w:rPr>
                <w:rFonts w:hint="default"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keepNext w:val="0"/>
              <w:keepLines w:val="0"/>
              <w:widowControl/>
              <w:suppressLineNumbers w:val="0"/>
              <w:spacing w:before="0" w:beforeAutospacing="0" w:afterAutospacing="0"/>
              <w:ind w:left="0" w:right="0"/>
              <w:jc w:val="left"/>
              <w:rPr>
                <w:rFonts w:hint="default" w:ascii="仿宋_GB2312" w:hAnsi="仿宋_GB2312" w:eastAsia="仿宋_GB2312" w:cs="仿宋_GB2312"/>
                <w:b w:val="0"/>
                <w:bCs w:val="0"/>
                <w:i w:val="0"/>
                <w:iCs w:val="0"/>
                <w:smallCaps w:val="0"/>
                <w:color w:val="auto"/>
                <w:kern w:val="0"/>
                <w:sz w:val="21"/>
                <w:szCs w:val="20"/>
                <w:highlight w:val="none"/>
                <w:lang w:val="en-US" w:eastAsia="zh-CN"/>
              </w:rPr>
            </w:pPr>
            <w:r>
              <w:rPr>
                <w:rFonts w:hint="default"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bl>
    <w:p>
      <w:pPr>
        <w:keepNext w:val="0"/>
        <w:spacing w:before="0" w:after="0" w:line="360" w:lineRule="auto"/>
        <w:outlineLvl w:val="2"/>
        <w:rPr>
          <w:rFonts w:hint="eastAsia" w:ascii="仿宋_GB2312" w:hAnsi="仿宋_GB2312" w:eastAsia="仿宋_GB2312" w:cs="仿宋_GB2312"/>
          <w:b/>
          <w:bCs/>
          <w:color w:val="auto"/>
          <w:sz w:val="28"/>
          <w:szCs w:val="28"/>
          <w:highlight w:val="none"/>
          <w:lang w:val="en-US" w:eastAsia="en-US" w:bidi="ar-SA"/>
        </w:rPr>
      </w:pPr>
      <w:bookmarkStart w:id="8" w:name="_Toc256000037"/>
      <w:r>
        <w:rPr>
          <w:rFonts w:hint="eastAsia" w:ascii="仿宋_GB2312" w:hAnsi="仿宋_GB2312" w:eastAsia="仿宋_GB2312" w:cs="仿宋_GB2312"/>
          <w:b/>
          <w:bCs/>
          <w:color w:val="auto"/>
          <w:sz w:val="28"/>
          <w:szCs w:val="28"/>
          <w:highlight w:val="none"/>
          <w:lang w:val="en-US" w:eastAsia="en-US" w:bidi="ar-SA"/>
        </w:rPr>
        <w:t>8.2</w:t>
      </w:r>
      <w:r>
        <w:rPr>
          <w:rFonts w:hint="eastAsia" w:ascii="仿宋_GB2312" w:hAnsi="仿宋_GB2312" w:eastAsia="仿宋_GB2312" w:cs="仿宋_GB2312"/>
          <w:b/>
          <w:bCs/>
          <w:color w:val="auto"/>
          <w:sz w:val="28"/>
          <w:szCs w:val="28"/>
          <w:highlight w:val="none"/>
          <w:lang w:val="en-US" w:eastAsia="zh-CN" w:bidi="ar-SA"/>
        </w:rPr>
        <w:t>.1</w:t>
      </w:r>
      <w:r>
        <w:rPr>
          <w:rFonts w:hint="eastAsia" w:ascii="仿宋_GB2312" w:hAnsi="仿宋_GB2312" w:eastAsia="仿宋_GB2312" w:cs="仿宋_GB2312"/>
          <w:b/>
          <w:bCs/>
          <w:color w:val="auto"/>
          <w:sz w:val="28"/>
          <w:szCs w:val="28"/>
          <w:highlight w:val="none"/>
          <w:lang w:val="en-US" w:eastAsia="en-US" w:bidi="ar-SA"/>
        </w:rPr>
        <w:t>验收与付款</w:t>
      </w:r>
    </w:p>
    <w:p>
      <w:pPr>
        <w:keepNext w:val="0"/>
        <w:widowControl/>
        <w:autoSpaceDE w:val="0"/>
        <w:autoSpaceDN w:val="0"/>
        <w:adjustRightInd w:val="0"/>
        <w:snapToGrid w:val="0"/>
        <w:spacing w:before="0" w:after="0" w:line="560" w:lineRule="exact"/>
        <w:ind w:firstLine="640" w:firstLineChars="200"/>
        <w:textAlignment w:val="baseline"/>
        <w:outlineLvl w:val="9"/>
        <w:rPr>
          <w:rFonts w:hint="default" w:ascii="仿宋_GB2312" w:hAnsi="Times New Roman" w:eastAsia="仿宋_GB2312" w:cs="Times New Roman"/>
          <w:b w:val="0"/>
          <w:bCs w:val="0"/>
          <w:snapToGrid w:val="0"/>
          <w:color w:val="000000"/>
          <w:kern w:val="0"/>
          <w:sz w:val="32"/>
          <w:szCs w:val="32"/>
          <w:highlight w:val="none"/>
          <w:lang w:val="en-US" w:eastAsia="en-US" w:bidi="ar-SA"/>
        </w:rPr>
      </w:pPr>
      <w:r>
        <w:rPr>
          <w:rFonts w:hint="default" w:ascii="仿宋_GB2312" w:hAnsi="Times New Roman" w:eastAsia="仿宋_GB2312" w:cs="Times New Roman"/>
          <w:b w:val="0"/>
          <w:bCs w:val="0"/>
          <w:snapToGrid w:val="0"/>
          <w:color w:val="000000"/>
          <w:kern w:val="0"/>
          <w:sz w:val="32"/>
          <w:szCs w:val="32"/>
          <w:highlight w:val="none"/>
          <w:lang w:val="en-US" w:eastAsia="en-US" w:bidi="ar-SA"/>
        </w:rPr>
        <w:t>1.验收安排：到货当天现场验收。</w:t>
      </w:r>
    </w:p>
    <w:p>
      <w:pPr>
        <w:autoSpaceDE w:val="0"/>
        <w:autoSpaceDN w:val="0"/>
        <w:adjustRightInd w:val="0"/>
        <w:snapToGrid w:val="0"/>
        <w:spacing w:after="0" w:line="560" w:lineRule="exact"/>
        <w:ind w:firstLine="640" w:firstLineChars="200"/>
        <w:textAlignment w:val="baseline"/>
        <w:outlineLvl w:val="9"/>
        <w:rPr>
          <w:rFonts w:hint="default" w:ascii="仿宋_GB2312" w:eastAsia="仿宋_GB2312"/>
          <w:snapToGrid w:val="0"/>
          <w:color w:val="000000"/>
          <w:kern w:val="0"/>
          <w:sz w:val="32"/>
          <w:szCs w:val="32"/>
          <w:highlight w:val="none"/>
          <w:lang w:val="en-US" w:eastAsia="en-US"/>
        </w:rPr>
      </w:pPr>
      <w:r>
        <w:rPr>
          <w:rFonts w:hint="default" w:ascii="仿宋_GB2312" w:hAnsi="Times New Roman" w:eastAsia="仿宋_GB2312" w:cs="Times New Roman"/>
          <w:b w:val="0"/>
          <w:bCs w:val="0"/>
          <w:snapToGrid w:val="0"/>
          <w:color w:val="000000"/>
          <w:kern w:val="0"/>
          <w:sz w:val="32"/>
          <w:szCs w:val="32"/>
          <w:highlight w:val="none"/>
          <w:lang w:val="en-US" w:eastAsia="en-US" w:bidi="ar-SA"/>
        </w:rPr>
        <w:t>2.付款安排：每月5日前</w:t>
      </w:r>
      <w:r>
        <w:rPr>
          <w:rFonts w:hint="eastAsia" w:ascii="仿宋_GB2312" w:eastAsia="仿宋_GB2312" w:cs="Times New Roman"/>
          <w:b w:val="0"/>
          <w:bCs w:val="0"/>
          <w:snapToGrid w:val="0"/>
          <w:color w:val="000000"/>
          <w:kern w:val="0"/>
          <w:sz w:val="32"/>
          <w:szCs w:val="32"/>
          <w:highlight w:val="none"/>
          <w:lang w:val="en-US" w:eastAsia="zh-CN" w:bidi="ar-SA"/>
        </w:rPr>
        <w:t>中标人</w:t>
      </w:r>
      <w:r>
        <w:rPr>
          <w:rFonts w:hint="default" w:ascii="仿宋_GB2312" w:hAnsi="Times New Roman" w:eastAsia="仿宋_GB2312" w:cs="Times New Roman"/>
          <w:b w:val="0"/>
          <w:bCs w:val="0"/>
          <w:snapToGrid w:val="0"/>
          <w:color w:val="000000"/>
          <w:kern w:val="0"/>
          <w:sz w:val="32"/>
          <w:szCs w:val="32"/>
          <w:highlight w:val="none"/>
          <w:lang w:val="en-US" w:eastAsia="en-US" w:bidi="ar-SA"/>
        </w:rPr>
        <w:t>按照原始验收单据主动与采购人核对上一个月的货款和考核结果。双方核对账目无误后，对照上一个月的考核情况，</w:t>
      </w:r>
      <w:r>
        <w:rPr>
          <w:rFonts w:hint="eastAsia" w:ascii="仿宋_GB2312" w:eastAsia="仿宋_GB2312" w:cs="Times New Roman"/>
          <w:b w:val="0"/>
          <w:bCs w:val="0"/>
          <w:snapToGrid w:val="0"/>
          <w:color w:val="000000"/>
          <w:kern w:val="0"/>
          <w:sz w:val="32"/>
          <w:szCs w:val="32"/>
          <w:highlight w:val="none"/>
          <w:lang w:val="en-US" w:eastAsia="zh-CN" w:bidi="ar-SA"/>
        </w:rPr>
        <w:t>中标人</w:t>
      </w:r>
      <w:r>
        <w:rPr>
          <w:rFonts w:hint="default" w:ascii="仿宋_GB2312" w:hAnsi="Times New Roman" w:eastAsia="仿宋_GB2312" w:cs="Times New Roman"/>
          <w:b w:val="0"/>
          <w:bCs w:val="0"/>
          <w:snapToGrid w:val="0"/>
          <w:color w:val="000000"/>
          <w:kern w:val="0"/>
          <w:sz w:val="32"/>
          <w:szCs w:val="32"/>
          <w:highlight w:val="none"/>
          <w:lang w:val="en-US" w:eastAsia="en-US" w:bidi="ar-SA"/>
        </w:rPr>
        <w:t>于每月10日前向采购人提出付款申请。</w:t>
      </w:r>
      <w:r>
        <w:rPr>
          <w:rFonts w:hint="default" w:ascii="仿宋_GB2312" w:eastAsia="仿宋_GB2312"/>
          <w:snapToGrid w:val="0"/>
          <w:color w:val="000000"/>
          <w:kern w:val="0"/>
          <w:sz w:val="32"/>
          <w:szCs w:val="32"/>
          <w:highlight w:val="none"/>
          <w:lang w:val="en-US" w:eastAsia="en-US"/>
        </w:rPr>
        <w:t>每次办理付款时，</w:t>
      </w:r>
      <w:r>
        <w:rPr>
          <w:rFonts w:hint="eastAsia" w:ascii="仿宋_GB2312" w:eastAsia="仿宋_GB2312"/>
          <w:snapToGrid w:val="0"/>
          <w:color w:val="000000"/>
          <w:kern w:val="0"/>
          <w:sz w:val="32"/>
          <w:szCs w:val="32"/>
          <w:highlight w:val="none"/>
          <w:lang w:val="en-US" w:eastAsia="zh-CN"/>
        </w:rPr>
        <w:t>中标人</w:t>
      </w:r>
      <w:r>
        <w:rPr>
          <w:rFonts w:hint="default" w:ascii="仿宋_GB2312" w:eastAsia="仿宋_GB2312"/>
          <w:snapToGrid w:val="0"/>
          <w:color w:val="000000"/>
          <w:kern w:val="0"/>
          <w:sz w:val="32"/>
          <w:szCs w:val="32"/>
          <w:highlight w:val="none"/>
          <w:lang w:val="en-US" w:eastAsia="en-US"/>
        </w:rPr>
        <w:t>应提供发票、付款申请、付款明细、货物验收单据</w:t>
      </w:r>
      <w:r>
        <w:rPr>
          <w:rFonts w:hint="eastAsia" w:ascii="仿宋_GB2312" w:eastAsia="仿宋_GB2312"/>
          <w:snapToGrid w:val="0"/>
          <w:color w:val="000000"/>
          <w:kern w:val="0"/>
          <w:sz w:val="32"/>
          <w:szCs w:val="32"/>
          <w:highlight w:val="none"/>
          <w:lang w:val="en-US" w:eastAsia="zh-CN"/>
        </w:rPr>
        <w:t>等相关</w:t>
      </w:r>
      <w:r>
        <w:rPr>
          <w:rFonts w:hint="default" w:ascii="仿宋_GB2312" w:eastAsia="仿宋_GB2312"/>
          <w:snapToGrid w:val="0"/>
          <w:color w:val="000000"/>
          <w:kern w:val="0"/>
          <w:sz w:val="32"/>
          <w:szCs w:val="32"/>
          <w:highlight w:val="none"/>
          <w:lang w:val="en-US" w:eastAsia="en-US"/>
        </w:rPr>
        <w:t>资料。</w:t>
      </w:r>
    </w:p>
    <w:p>
      <w:pPr>
        <w:autoSpaceDE w:val="0"/>
        <w:autoSpaceDN w:val="0"/>
        <w:adjustRightInd w:val="0"/>
        <w:snapToGrid w:val="0"/>
        <w:spacing w:after="0" w:line="560" w:lineRule="exact"/>
        <w:ind w:firstLine="640" w:firstLineChars="200"/>
        <w:textAlignment w:val="baseline"/>
        <w:outlineLvl w:val="9"/>
        <w:rPr>
          <w:rFonts w:hint="default" w:ascii="仿宋_GB2312" w:eastAsia="仿宋_GB2312"/>
          <w:snapToGrid w:val="0"/>
          <w:color w:val="000000"/>
          <w:kern w:val="0"/>
          <w:sz w:val="32"/>
          <w:szCs w:val="32"/>
          <w:highlight w:val="none"/>
          <w:lang w:val="en-US" w:eastAsia="en-US"/>
        </w:rPr>
      </w:pPr>
      <w:r>
        <w:rPr>
          <w:rFonts w:hint="default" w:ascii="仿宋_GB2312" w:eastAsia="仿宋_GB2312"/>
          <w:snapToGrid w:val="0"/>
          <w:color w:val="000000"/>
          <w:kern w:val="0"/>
          <w:sz w:val="32"/>
          <w:szCs w:val="32"/>
          <w:highlight w:val="none"/>
          <w:lang w:val="en-US" w:eastAsia="en-US"/>
        </w:rPr>
        <w:t>采购人在收到发票等合同约定资料后，进行核实。满足合同约定支付条件的，采购人原则上应当自收到发票后10个工作日内将资金支付到合同约定的</w:t>
      </w:r>
      <w:r>
        <w:rPr>
          <w:rFonts w:hint="eastAsia" w:ascii="仿宋_GB2312" w:eastAsia="仿宋_GB2312"/>
          <w:snapToGrid w:val="0"/>
          <w:color w:val="000000"/>
          <w:kern w:val="0"/>
          <w:sz w:val="32"/>
          <w:szCs w:val="32"/>
          <w:highlight w:val="none"/>
          <w:lang w:val="en-US" w:eastAsia="zh-CN"/>
        </w:rPr>
        <w:t>中标人</w:t>
      </w:r>
      <w:r>
        <w:rPr>
          <w:rFonts w:hint="default" w:ascii="仿宋_GB2312" w:eastAsia="仿宋_GB2312"/>
          <w:snapToGrid w:val="0"/>
          <w:color w:val="000000"/>
          <w:kern w:val="0"/>
          <w:sz w:val="32"/>
          <w:szCs w:val="32"/>
          <w:highlight w:val="none"/>
          <w:lang w:val="en-US" w:eastAsia="en-US"/>
        </w:rPr>
        <w:t>账户，双方另有争议除外。本项目1月至4月不办理合同付款事宜，相关款项于当年5月一并支付。</w:t>
      </w:r>
    </w:p>
    <w:bookmarkEnd w:id="8"/>
    <w:p>
      <w:pPr>
        <w:pStyle w:val="29"/>
        <w:keepNext w:val="0"/>
        <w:spacing w:before="0" w:after="0" w:line="360" w:lineRule="auto"/>
        <w:rPr>
          <w:rFonts w:ascii="仿宋_GB2312" w:hAnsi="仿宋_GB2312" w:eastAsia="仿宋_GB2312" w:cs="仿宋_GB2312"/>
          <w:i w:val="0"/>
          <w:iCs w:val="0"/>
          <w:sz w:val="32"/>
          <w:highlight w:val="none"/>
        </w:rPr>
      </w:pPr>
      <w:r>
        <w:rPr>
          <w:rFonts w:ascii="仿宋_GB2312" w:hAnsi="仿宋_GB2312" w:eastAsia="仿宋_GB2312" w:cs="仿宋_GB2312"/>
          <w:i w:val="0"/>
          <w:iCs w:val="0"/>
          <w:sz w:val="32"/>
          <w:highlight w:val="none"/>
        </w:rPr>
        <w:t>8.</w:t>
      </w:r>
      <w:r>
        <w:rPr>
          <w:rFonts w:hint="eastAsia" w:ascii="仿宋_GB2312" w:hAnsi="仿宋_GB2312" w:eastAsia="仿宋_GB2312" w:cs="仿宋_GB2312"/>
          <w:i w:val="0"/>
          <w:iCs w:val="0"/>
          <w:sz w:val="32"/>
          <w:highlight w:val="none"/>
          <w:lang w:val="en-US" w:eastAsia="zh-CN"/>
        </w:rPr>
        <w:t>3</w:t>
      </w:r>
      <w:r>
        <w:rPr>
          <w:rFonts w:ascii="仿宋_GB2312" w:hAnsi="仿宋_GB2312" w:eastAsia="仿宋_GB2312" w:cs="仿宋_GB2312"/>
          <w:i w:val="0"/>
          <w:iCs w:val="0"/>
          <w:sz w:val="32"/>
          <w:highlight w:val="none"/>
        </w:rPr>
        <w:t>其他要求</w:t>
      </w:r>
    </w:p>
    <w:p>
      <w:pPr>
        <w:pStyle w:val="30"/>
        <w:keepNext w:val="0"/>
        <w:spacing w:before="0" w:after="0" w:line="360" w:lineRule="auto"/>
        <w:rPr>
          <w:rFonts w:ascii="仿宋_GB2312" w:hAnsi="仿宋_GB2312" w:eastAsia="仿宋_GB2312" w:cs="仿宋_GB2312"/>
          <w:b/>
          <w:bCs/>
          <w:sz w:val="32"/>
          <w:szCs w:val="28"/>
          <w:highlight w:val="none"/>
        </w:rPr>
      </w:pPr>
      <w:r>
        <w:rPr>
          <w:rFonts w:ascii="仿宋_GB2312" w:hAnsi="仿宋_GB2312" w:eastAsia="仿宋_GB2312" w:cs="仿宋_GB2312"/>
          <w:sz w:val="32"/>
          <w:szCs w:val="28"/>
          <w:highlight w:val="none"/>
        </w:rPr>
        <w:t>8.</w:t>
      </w:r>
      <w:r>
        <w:rPr>
          <w:rFonts w:hint="eastAsia" w:ascii="仿宋_GB2312" w:hAnsi="仿宋_GB2312" w:eastAsia="仿宋_GB2312" w:cs="仿宋_GB2312"/>
          <w:sz w:val="32"/>
          <w:szCs w:val="28"/>
          <w:highlight w:val="none"/>
          <w:lang w:val="en-US" w:eastAsia="zh-CN"/>
        </w:rPr>
        <w:t>3</w:t>
      </w:r>
      <w:r>
        <w:rPr>
          <w:rFonts w:ascii="仿宋_GB2312" w:hAnsi="仿宋_GB2312" w:eastAsia="仿宋_GB2312" w:cs="仿宋_GB2312"/>
          <w:sz w:val="32"/>
          <w:szCs w:val="28"/>
          <w:highlight w:val="none"/>
        </w:rPr>
        <w:t>.1结算要求</w:t>
      </w:r>
    </w:p>
    <w:p>
      <w:pPr>
        <w:pStyle w:val="34"/>
        <w:numPr>
          <w:ilvl w:val="0"/>
          <w:numId w:val="0"/>
        </w:numPr>
        <w:spacing w:before="0" w:after="0" w:line="560" w:lineRule="exact"/>
        <w:ind w:firstLine="640" w:firstLineChars="200"/>
        <w:jc w:val="both"/>
        <w:textAlignment w:val="baseline"/>
        <w:rPr>
          <w:rFonts w:ascii="FangSong_GB2312" w:hAnsi="FangSong_GB2312" w:eastAsia="仿宋_GB2312" w:cs="FangSong_GB2312"/>
          <w:sz w:val="32"/>
          <w:szCs w:val="32"/>
          <w:highlight w:val="none"/>
        </w:rPr>
      </w:pPr>
      <w:r>
        <w:rPr>
          <w:rFonts w:hint="eastAsia" w:ascii="FangSong_GB2312" w:hAnsi="FangSong_GB2312" w:eastAsia="仿宋_GB2312" w:cs="FangSong_GB2312"/>
          <w:sz w:val="32"/>
          <w:szCs w:val="32"/>
          <w:highlight w:val="none"/>
          <w:lang w:val="en-US" w:eastAsia="zh-CN"/>
        </w:rPr>
        <w:t>1.</w:t>
      </w:r>
      <w:r>
        <w:rPr>
          <w:rFonts w:ascii="FangSong_GB2312" w:hAnsi="FangSong_GB2312" w:eastAsia="仿宋_GB2312" w:cs="FangSong_GB2312"/>
          <w:sz w:val="32"/>
          <w:szCs w:val="32"/>
          <w:highlight w:val="none"/>
        </w:rPr>
        <w:t>结算价格=费率×报价网站食材价格×1.1（或1或0.9）。</w:t>
      </w:r>
    </w:p>
    <w:p>
      <w:pPr>
        <w:pStyle w:val="34"/>
        <w:spacing w:before="0" w:after="0" w:line="560" w:lineRule="exact"/>
        <w:ind w:left="0" w:right="0" w:firstLine="640" w:firstLineChars="200"/>
        <w:jc w:val="both"/>
        <w:rPr>
          <w:rFonts w:ascii="等线" w:hAnsi="等线" w:eastAsia="仿宋_GB2312" w:cs="等线"/>
          <w:sz w:val="32"/>
          <w:highlight w:val="none"/>
        </w:rPr>
      </w:pPr>
      <w:r>
        <w:rPr>
          <w:rFonts w:ascii="FangSong_GB2312" w:hAnsi="FangSong_GB2312" w:eastAsia="仿宋_GB2312" w:cs="FangSong_GB2312"/>
          <w:sz w:val="32"/>
          <w:szCs w:val="32"/>
          <w:highlight w:val="none"/>
        </w:rPr>
        <w:t>依次参照</w:t>
      </w:r>
      <w:r>
        <w:rPr>
          <w:rFonts w:hint="eastAsia" w:ascii="FangSong_GB2312" w:hAnsi="FangSong_GB2312" w:eastAsia="仿宋_GB2312" w:cs="FangSong_GB2312"/>
          <w:sz w:val="32"/>
          <w:szCs w:val="32"/>
          <w:highlight w:val="none"/>
          <w:lang w:eastAsia="zh-CN"/>
        </w:rPr>
        <w:t>北</w:t>
      </w:r>
      <w:r>
        <w:rPr>
          <w:rFonts w:ascii="FangSong_GB2312" w:hAnsi="FangSong_GB2312" w:eastAsia="仿宋_GB2312" w:cs="FangSong_GB2312"/>
          <w:sz w:val="32"/>
          <w:szCs w:val="32"/>
          <w:highlight w:val="none"/>
        </w:rPr>
        <w:t>京创价市场价格信息网</w:t>
      </w:r>
      <w:r>
        <w:rPr>
          <w:rFonts w:hint="eastAsia" w:ascii="FangSong_GB2312" w:hAnsi="FangSong_GB2312" w:eastAsia="仿宋_GB2312" w:cs="FangSong_GB2312"/>
          <w:sz w:val="32"/>
          <w:szCs w:val="32"/>
          <w:highlight w:val="none"/>
          <w:lang w:eastAsia="zh-CN"/>
        </w:rPr>
        <w:t>、</w:t>
      </w:r>
      <w:r>
        <w:rPr>
          <w:rFonts w:ascii="FangSong_GB2312" w:hAnsi="FangSong_GB2312" w:eastAsia="仿宋_GB2312" w:cs="FangSong_GB2312"/>
          <w:sz w:val="32"/>
          <w:szCs w:val="32"/>
          <w:highlight w:val="none"/>
        </w:rPr>
        <w:t>北京新发地网站、北京京丰岳各庄农副批发市场中心网站为定价依据确定具体的“报价网站食材价格”，定价单位为500克，网站报价有多个规格的，依次参照批发价、综合价和零售价，以最大规格的每500克价格为定价依据确定具体的“报价网站食材价格”，结算价格=费率×报价网站食材价格×1.1。其中：北京创价市场价格信息网价格时间基准，以上月16日至最后一日平均价为基准计算本月1-15日价格，以本月1-15日平均价为基准计算本月16日至月底最后一日价格；北京新发地网站、北京京丰岳各庄农副批发市场中心网站价格时间基准，以上月最后一日价格为基准计算本月1-15日价格，以本月15日价格为基准计算本月16日至月底最后一日价格。</w:t>
      </w:r>
    </w:p>
    <w:p>
      <w:pPr>
        <w:pStyle w:val="34"/>
        <w:spacing w:before="0" w:after="0" w:line="560" w:lineRule="exact"/>
        <w:ind w:left="0" w:right="0" w:firstLine="640" w:firstLineChars="200"/>
        <w:jc w:val="both"/>
        <w:rPr>
          <w:rFonts w:ascii="等线" w:hAnsi="等线" w:eastAsia="仿宋_GB2312" w:cs="等线"/>
          <w:sz w:val="32"/>
          <w:highlight w:val="none"/>
        </w:rPr>
      </w:pPr>
      <w:r>
        <w:rPr>
          <w:rFonts w:ascii="FangSong_GB2312" w:hAnsi="FangSong_GB2312" w:eastAsia="仿宋_GB2312" w:cs="FangSong_GB2312"/>
          <w:sz w:val="32"/>
          <w:szCs w:val="32"/>
          <w:highlight w:val="none"/>
        </w:rPr>
        <w:t>以上网站没有的货物，依次参照京东自营、天猫自营进行定价，定价单位为500克，网站报价有多个规格的，以最大规格的每500克价格为定价依据确定具体的“报价网站食材价格”，结算价格=费率×报价网站食材价格×1。第1次采购的货物，价格时间基准以当月第1次采购该货物价格为基准计算本月价格，已采购过的货物以上月最后一日价格为基准计算本月价格。</w:t>
      </w:r>
    </w:p>
    <w:p>
      <w:pPr>
        <w:pStyle w:val="34"/>
        <w:spacing w:before="0" w:after="0" w:line="560" w:lineRule="exact"/>
        <w:ind w:left="0" w:right="0" w:firstLine="640" w:firstLineChars="200"/>
        <w:jc w:val="both"/>
        <w:rPr>
          <w:rFonts w:ascii="等线" w:hAnsi="等线" w:eastAsia="仿宋_GB2312" w:cs="等线"/>
          <w:sz w:val="32"/>
          <w:highlight w:val="none"/>
        </w:rPr>
      </w:pPr>
      <w:r>
        <w:rPr>
          <w:rFonts w:ascii="FangSong_GB2312" w:hAnsi="FangSong_GB2312" w:eastAsia="仿宋_GB2312" w:cs="FangSong_GB2312"/>
          <w:sz w:val="32"/>
          <w:szCs w:val="32"/>
          <w:highlight w:val="none"/>
        </w:rPr>
        <w:t>以上网站没有的货物，依次参照多点APP、美团小象超市APP进行定价，定价单位为500克，网站报价有多个规格的，以最大规格的每500克价格为定价依据确定具体的“报价网站食材价格”，结算价格=费率×报价网站食材价格×0.9。第1次采购的货物，价格时间基准以当月第1次采购该货物价格为基准计算本月价格，已采购过的货物以上月最后一日价格为基准计算本月价格。</w:t>
      </w:r>
    </w:p>
    <w:p>
      <w:pPr>
        <w:pStyle w:val="34"/>
        <w:adjustRightInd w:val="0"/>
        <w:snapToGrid w:val="0"/>
        <w:spacing w:before="0" w:after="0" w:line="560" w:lineRule="exact"/>
        <w:ind w:left="0" w:right="0" w:firstLine="640" w:firstLineChars="200"/>
        <w:jc w:val="both"/>
        <w:rPr>
          <w:rFonts w:ascii="FangSong_GB2312" w:hAnsi="FangSong_GB2312" w:eastAsia="仿宋_GB2312" w:cs="FangSong_GB2312"/>
          <w:sz w:val="32"/>
          <w:szCs w:val="32"/>
          <w:highlight w:val="none"/>
        </w:rPr>
      </w:pPr>
      <w:r>
        <w:rPr>
          <w:rFonts w:hint="eastAsia" w:ascii="FangSong_GB2312" w:hAnsi="FangSong_GB2312" w:eastAsia="仿宋_GB2312" w:cs="FangSong_GB2312"/>
          <w:sz w:val="32"/>
          <w:szCs w:val="32"/>
          <w:highlight w:val="none"/>
          <w:lang w:val="en-US" w:eastAsia="zh-CN"/>
        </w:rPr>
        <w:t>2.</w:t>
      </w:r>
      <w:r>
        <w:rPr>
          <w:rFonts w:ascii="FangSong_GB2312" w:hAnsi="FangSong_GB2312" w:eastAsia="仿宋_GB2312" w:cs="FangSong_GB2312"/>
          <w:sz w:val="32"/>
          <w:szCs w:val="32"/>
          <w:highlight w:val="none"/>
        </w:rPr>
        <w:t>如遇某品目食材市场价格在一个价格周期内出现剧烈波动超过5%的，</w:t>
      </w:r>
      <w:r>
        <w:rPr>
          <w:rFonts w:hint="eastAsia" w:ascii="FangSong_GB2312" w:hAnsi="FangSong_GB2312" w:eastAsia="仿宋_GB2312" w:cs="FangSong_GB2312"/>
          <w:sz w:val="32"/>
          <w:szCs w:val="32"/>
          <w:highlight w:val="none"/>
          <w:lang w:eastAsia="zh-CN"/>
        </w:rPr>
        <w:t>中标人</w:t>
      </w:r>
      <w:r>
        <w:rPr>
          <w:rFonts w:ascii="FangSong_GB2312" w:hAnsi="FangSong_GB2312" w:eastAsia="仿宋_GB2312" w:cs="FangSong_GB2312"/>
          <w:sz w:val="32"/>
          <w:szCs w:val="32"/>
          <w:highlight w:val="none"/>
        </w:rPr>
        <w:t>应主动向采购人提交申请，经双方友好协商，该食材的结算价格在该价格周期内可做调整。</w:t>
      </w:r>
    </w:p>
    <w:p>
      <w:pPr>
        <w:pStyle w:val="34"/>
        <w:adjustRightInd w:val="0"/>
        <w:snapToGrid w:val="0"/>
        <w:spacing w:before="0" w:after="0" w:line="560" w:lineRule="exact"/>
        <w:ind w:firstLine="640" w:firstLineChars="200"/>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ascii="仿宋_GB2312" w:hAnsi="仿宋_GB2312" w:eastAsia="仿宋_GB2312" w:cs="仿宋_GB2312"/>
          <w:sz w:val="32"/>
          <w:szCs w:val="32"/>
          <w:highlight w:val="none"/>
        </w:rPr>
        <w:t>本包实际结算总价格不超过本包预算。</w:t>
      </w:r>
    </w:p>
    <w:p>
      <w:pPr>
        <w:pStyle w:val="31"/>
        <w:spacing w:line="560" w:lineRule="exact"/>
        <w:ind w:firstLine="640" w:firstLineChars="200"/>
        <w:rPr>
          <w:rFonts w:ascii="仿宋_GB2312" w:hAnsi="仿宋_GB2312" w:eastAsia="仿宋_GB2312" w:cs="仿宋_GB2312"/>
          <w:sz w:val="32"/>
          <w:szCs w:val="32"/>
          <w:highlight w:val="yellow"/>
        </w:rPr>
      </w:pPr>
      <w:r>
        <w:rPr>
          <w:rFonts w:hint="default" w:ascii="仿宋_GB2312" w:hAnsi="仿宋_GB2312" w:eastAsia="仿宋_GB2312" w:cs="仿宋_GB2312"/>
          <w:sz w:val="32"/>
          <w:szCs w:val="32"/>
          <w:highlight w:val="none"/>
          <w:lang w:val="en-US" w:eastAsia="en-US"/>
        </w:rPr>
        <w:t>4.</w:t>
      </w:r>
      <w:r>
        <w:rPr>
          <w:rFonts w:hint="default"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rPr>
        <w:t>便于投标人了解本包常用食材的平均价格信息，供投标参考，领取招标文件的供应商可以同时领取一份北京创价市场价格信息网中本包常用食材</w:t>
      </w:r>
      <w:r>
        <w:rPr>
          <w:rFonts w:hint="eastAsia" w:ascii="仿宋_GB2312" w:hAnsi="仿宋_GB2312" w:eastAsia="仿宋_GB2312" w:cs="仿宋_GB2312"/>
          <w:sz w:val="32"/>
          <w:szCs w:val="32"/>
          <w:highlight w:val="none"/>
          <w:u w:val="none"/>
          <w:lang w:val="en-US" w:eastAsia="zh-CN"/>
        </w:rPr>
        <w:t>7</w:t>
      </w:r>
      <w:r>
        <w:rPr>
          <w:rFonts w:hint="eastAsia" w:ascii="仿宋_GB2312" w:hAnsi="仿宋_GB2312" w:eastAsia="仿宋_GB2312" w:cs="仿宋_GB2312"/>
          <w:sz w:val="32"/>
          <w:szCs w:val="32"/>
          <w:highlight w:val="none"/>
        </w:rPr>
        <w:t>月16日至30日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8月1日至8月15日</w:t>
      </w:r>
      <w:r>
        <w:rPr>
          <w:rFonts w:hint="eastAsia" w:ascii="仿宋_GB2312" w:hAnsi="仿宋_GB2312" w:eastAsia="仿宋_GB2312" w:cs="仿宋_GB2312"/>
          <w:sz w:val="32"/>
          <w:szCs w:val="32"/>
          <w:highlight w:val="none"/>
        </w:rPr>
        <w:t>的平均价格信息。</w:t>
      </w:r>
    </w:p>
    <w:p>
      <w:pPr>
        <w:pStyle w:val="30"/>
        <w:spacing w:after="0" w:line="360" w:lineRule="auto"/>
        <w:rPr>
          <w:rFonts w:hint="default" w:ascii="仿宋_GB2312" w:hAnsi="仿宋_GB2312" w:eastAsia="仿宋_GB2312" w:cs="仿宋_GB2312"/>
          <w:sz w:val="32"/>
          <w:szCs w:val="28"/>
          <w:highlight w:val="none"/>
        </w:rPr>
      </w:pPr>
      <w:r>
        <w:rPr>
          <w:rFonts w:hint="default" w:ascii="仿宋_GB2312" w:hAnsi="仿宋_GB2312" w:eastAsia="仿宋_GB2312" w:cs="仿宋_GB2312"/>
          <w:sz w:val="32"/>
          <w:szCs w:val="28"/>
          <w:highlight w:val="none"/>
        </w:rPr>
        <w:t>8.3.2本项目所属行业</w:t>
      </w:r>
    </w:p>
    <w:p>
      <w:pPr>
        <w:widowControl/>
        <w:autoSpaceDE w:val="0"/>
        <w:autoSpaceDN w:val="0"/>
        <w:adjustRightInd w:val="0"/>
        <w:snapToGrid w:val="0"/>
        <w:spacing w:line="560" w:lineRule="exact"/>
        <w:ind w:firstLine="640" w:firstLineChars="200"/>
        <w:textAlignment w:val="baseline"/>
        <w:rPr>
          <w:rFonts w:hint="eastAsia" w:eastAsia="宋体"/>
          <w:highlight w:val="none"/>
          <w:lang w:eastAsia="zh-CN"/>
        </w:rPr>
      </w:pPr>
      <w:r>
        <w:rPr>
          <w:rFonts w:hint="default" w:ascii="仿宋_GB2312" w:hAnsi="Times New Roman" w:eastAsia="仿宋_GB2312" w:cs="Times New Roman"/>
          <w:snapToGrid w:val="0"/>
          <w:color w:val="000000"/>
          <w:kern w:val="0"/>
          <w:sz w:val="32"/>
          <w:szCs w:val="32"/>
          <w:highlight w:val="none"/>
        </w:rPr>
        <w:t>本包采购标的属于《工业和信息化部、国家统计局、国家发展和改革委员会、财政部关于印发中小企业划型标准规定的通知》（工信部联企业〔2011〕300号）中的（二）工业（制造业）。</w:t>
      </w:r>
    </w:p>
    <w:sectPr>
      <w:footerReference r:id="rId5" w:type="default"/>
      <w:pgSz w:w="11906" w:h="16838"/>
      <w:pgMar w:top="1440" w:right="1800" w:bottom="1440" w:left="1800" w:header="851" w:footer="992" w:gutter="0"/>
      <w:pgNumType w:fmt="decimal"/>
      <w:cols w:space="708"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A9FCA8"/>
    <w:multiLevelType w:val="singleLevel"/>
    <w:tmpl w:val="BEA9FCA8"/>
    <w:lvl w:ilvl="0" w:tentative="0">
      <w:start w:val="1"/>
      <w:numFmt w:val="decimal"/>
      <w:suff w:val="nothing"/>
      <w:lvlText w:val="（%1）"/>
      <w:lvlJc w:val="left"/>
    </w:lvl>
  </w:abstractNum>
  <w:abstractNum w:abstractNumId="1">
    <w:nsid w:val="C3B34CB2"/>
    <w:multiLevelType w:val="singleLevel"/>
    <w:tmpl w:val="C3B34CB2"/>
    <w:lvl w:ilvl="0" w:tentative="0">
      <w:start w:val="2"/>
      <w:numFmt w:val="decimal"/>
      <w:suff w:val="nothing"/>
      <w:lvlText w:val="（%1）"/>
      <w:lvlJc w:val="left"/>
    </w:lvl>
  </w:abstractNum>
  <w:abstractNum w:abstractNumId="2">
    <w:nsid w:val="1C3C6C78"/>
    <w:multiLevelType w:val="singleLevel"/>
    <w:tmpl w:val="1C3C6C78"/>
    <w:lvl w:ilvl="0" w:tentative="0">
      <w:start w:val="2"/>
      <w:numFmt w:val="decimal"/>
      <w:suff w:val="nothing"/>
      <w:lvlText w:val="（%1）"/>
      <w:lvlJc w:val="left"/>
    </w:lvl>
  </w:abstractNum>
  <w:abstractNum w:abstractNumId="3">
    <w:nsid w:val="281C1CF2"/>
    <w:multiLevelType w:val="singleLevel"/>
    <w:tmpl w:val="281C1CF2"/>
    <w:lvl w:ilvl="0" w:tentative="0">
      <w:start w:val="5"/>
      <w:numFmt w:val="decimal"/>
      <w:suff w:val="nothing"/>
      <w:lvlText w:val="（%1）"/>
      <w:lvlJc w:val="left"/>
    </w:lvl>
  </w:abstractNum>
  <w:abstractNum w:abstractNumId="4">
    <w:nsid w:val="4EB8DBDE"/>
    <w:multiLevelType w:val="singleLevel"/>
    <w:tmpl w:val="4EB8DBDE"/>
    <w:lvl w:ilvl="0" w:tentative="0">
      <w:start w:val="3"/>
      <w:numFmt w:val="decimal"/>
      <w:suff w:val="nothing"/>
      <w:lvlText w:val="（%1）"/>
      <w:lvlJc w:val="left"/>
    </w:lvl>
  </w:abstractNum>
  <w:abstractNum w:abstractNumId="5">
    <w:nsid w:val="6254BDC5"/>
    <w:multiLevelType w:val="singleLevel"/>
    <w:tmpl w:val="6254BDC5"/>
    <w:lvl w:ilvl="0" w:tentative="0">
      <w:start w:val="2"/>
      <w:numFmt w:val="decimal"/>
      <w:lvlText w:val="%1."/>
      <w:lvlJc w:val="left"/>
      <w:pPr>
        <w:tabs>
          <w:tab w:val="left" w:pos="312"/>
        </w:tabs>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B175A"/>
    <w:rsid w:val="04A65FB0"/>
    <w:rsid w:val="04AB3F0E"/>
    <w:rsid w:val="09DC04DD"/>
    <w:rsid w:val="0D43598C"/>
    <w:rsid w:val="0ED454AA"/>
    <w:rsid w:val="10763F3E"/>
    <w:rsid w:val="13102580"/>
    <w:rsid w:val="14F62A9D"/>
    <w:rsid w:val="161B325F"/>
    <w:rsid w:val="19D5240A"/>
    <w:rsid w:val="19DE2960"/>
    <w:rsid w:val="1C7F38A1"/>
    <w:rsid w:val="1C847C56"/>
    <w:rsid w:val="1D7F2099"/>
    <w:rsid w:val="1E665FAC"/>
    <w:rsid w:val="24EB0A6E"/>
    <w:rsid w:val="25D452C7"/>
    <w:rsid w:val="29AC93B4"/>
    <w:rsid w:val="29B93D12"/>
    <w:rsid w:val="2BEF7445"/>
    <w:rsid w:val="2C553CB6"/>
    <w:rsid w:val="2C8627E8"/>
    <w:rsid w:val="34E7517A"/>
    <w:rsid w:val="34EE160B"/>
    <w:rsid w:val="35753C3C"/>
    <w:rsid w:val="3753799D"/>
    <w:rsid w:val="37B80743"/>
    <w:rsid w:val="37C270CE"/>
    <w:rsid w:val="3C066C0F"/>
    <w:rsid w:val="3D5E1DF3"/>
    <w:rsid w:val="3E566B15"/>
    <w:rsid w:val="3E893F39"/>
    <w:rsid w:val="3F1655B2"/>
    <w:rsid w:val="41F139FF"/>
    <w:rsid w:val="495F37FD"/>
    <w:rsid w:val="49CA50D6"/>
    <w:rsid w:val="4C02150D"/>
    <w:rsid w:val="4DFCD7A9"/>
    <w:rsid w:val="4EF72654"/>
    <w:rsid w:val="52453AA5"/>
    <w:rsid w:val="5376A942"/>
    <w:rsid w:val="576E3097"/>
    <w:rsid w:val="586934DA"/>
    <w:rsid w:val="670C3706"/>
    <w:rsid w:val="674319CF"/>
    <w:rsid w:val="67EBBD8B"/>
    <w:rsid w:val="69A650D2"/>
    <w:rsid w:val="6BA05485"/>
    <w:rsid w:val="6DD76BEF"/>
    <w:rsid w:val="6E2F5FC9"/>
    <w:rsid w:val="6E5D3985"/>
    <w:rsid w:val="6ECB7ADD"/>
    <w:rsid w:val="6F4F3084"/>
    <w:rsid w:val="6FB11198"/>
    <w:rsid w:val="713A31A1"/>
    <w:rsid w:val="76845899"/>
    <w:rsid w:val="77C471EF"/>
    <w:rsid w:val="77D78E80"/>
    <w:rsid w:val="77DFBC4E"/>
    <w:rsid w:val="798A0C8F"/>
    <w:rsid w:val="7B6179C5"/>
    <w:rsid w:val="7DD6483D"/>
    <w:rsid w:val="7DEBB65E"/>
    <w:rsid w:val="7F1B0973"/>
    <w:rsid w:val="7FF9C70D"/>
    <w:rsid w:val="9BF78769"/>
    <w:rsid w:val="B7FBD663"/>
    <w:rsid w:val="FEF9B9C4"/>
    <w:rsid w:val="FEFD56DF"/>
    <w:rsid w:val="FF2F00DF"/>
    <w:rsid w:val="FF5FB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annotation text"/>
    <w:basedOn w:val="1"/>
    <w:semiHidden/>
    <w:unhideWhenUsed/>
    <w:qFormat/>
    <w:uiPriority w:val="99"/>
    <w:pPr>
      <w:jc w:val="left"/>
    </w:pPr>
  </w:style>
  <w:style w:type="paragraph" w:styleId="4">
    <w:name w:val="Plain Text"/>
    <w:basedOn w:val="1"/>
    <w:qFormat/>
    <w:uiPriority w:val="0"/>
    <w:rPr>
      <w:rFonts w:ascii="宋体" w:hAnsi="Courier New"/>
      <w:kern w:val="0"/>
      <w:sz w:val="20"/>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0"/>
    <w:rPr>
      <w:sz w:val="24"/>
    </w:rPr>
  </w:style>
  <w:style w:type="paragraph" w:customStyle="1" w:styleId="9">
    <w:name w:val="Normal_0"/>
    <w:next w:val="10"/>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10">
    <w:name w:val="Normal Indent1_0"/>
    <w:basedOn w:val="1"/>
    <w:next w:val="9"/>
    <w:qFormat/>
    <w:uiPriority w:val="0"/>
    <w:pPr>
      <w:spacing w:line="660" w:lineRule="exact"/>
      <w:ind w:firstLine="720" w:firstLineChars="200"/>
    </w:pPr>
    <w:rPr>
      <w:rFonts w:eastAsia="楷体_GB2312"/>
      <w:sz w:val="36"/>
      <w:szCs w:val="36"/>
    </w:rPr>
  </w:style>
  <w:style w:type="paragraph" w:customStyle="1" w:styleId="11">
    <w:name w:val="Table Text"/>
    <w:basedOn w:val="1"/>
    <w:semiHidden/>
    <w:qFormat/>
    <w:uiPriority w:val="0"/>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0"/>
      <w:lang w:eastAsia="en-US"/>
    </w:rPr>
  </w:style>
  <w:style w:type="paragraph" w:customStyle="1" w:styleId="12">
    <w:name w:val="Default"/>
    <w:next w:val="13"/>
    <w:qFormat/>
    <w:uiPriority w:val="0"/>
    <w:pPr>
      <w:widowControl w:val="0"/>
      <w:autoSpaceDE w:val="0"/>
      <w:autoSpaceDN w:val="0"/>
      <w:adjustRightInd w:val="0"/>
      <w:spacing w:after="160" w:line="259" w:lineRule="auto"/>
    </w:pPr>
    <w:rPr>
      <w:rFonts w:ascii="宋体" w:hAnsi="Times New Roman" w:eastAsia="宋体" w:cs="宋体"/>
      <w:color w:val="000000"/>
      <w:sz w:val="24"/>
      <w:szCs w:val="24"/>
      <w:lang w:val="en-US" w:eastAsia="zh-CN" w:bidi="ar-SA"/>
    </w:rPr>
  </w:style>
  <w:style w:type="paragraph" w:customStyle="1" w:styleId="13">
    <w:name w:val="样式 标题 2 + 宋体 五号 非加粗 黑色"/>
    <w:next w:val="14"/>
    <w:qFormat/>
    <w:uiPriority w:val="0"/>
    <w:pPr>
      <w:keepNext/>
      <w:keepLines/>
      <w:widowControl w:val="0"/>
      <w:adjustRightInd w:val="0"/>
      <w:spacing w:before="260" w:after="260" w:line="416" w:lineRule="atLeast"/>
      <w:ind w:firstLine="200" w:firstLineChars="200"/>
      <w:textAlignment w:val="baseline"/>
      <w:outlineLvl w:val="1"/>
    </w:pPr>
    <w:rPr>
      <w:rFonts w:ascii="宋体" w:hAnsi="Times New Roman" w:eastAsia="宋体" w:cs="Times New Roman"/>
      <w:color w:val="000000"/>
      <w:sz w:val="21"/>
      <w:szCs w:val="32"/>
      <w:lang w:val="en-US" w:eastAsia="zh-CN" w:bidi="ar-SA"/>
    </w:rPr>
  </w:style>
  <w:style w:type="paragraph" w:customStyle="1" w:styleId="14">
    <w:name w:val="样式 宋体 五号 两端对齐 行距: 单倍行距"/>
    <w:basedOn w:val="1"/>
    <w:qFormat/>
    <w:uiPriority w:val="0"/>
    <w:rPr>
      <w:rFonts w:ascii="宋体"/>
      <w:sz w:val="21"/>
      <w:szCs w:val="24"/>
      <w:lang w:eastAsia="en-US"/>
    </w:rPr>
  </w:style>
  <w:style w:type="paragraph" w:customStyle="1" w:styleId="15">
    <w:name w:val="样式 11 10 磅"/>
    <w:next w:val="16"/>
    <w:qFormat/>
    <w:uiPriority w:val="0"/>
    <w:pPr>
      <w:widowControl w:val="0"/>
      <w:spacing w:after="160" w:line="259" w:lineRule="auto"/>
      <w:jc w:val="both"/>
    </w:pPr>
    <w:rPr>
      <w:rFonts w:ascii="宋体" w:hAnsi="Times New Roman" w:eastAsia="宋体" w:cs="Times New Roman"/>
      <w:kern w:val="2"/>
      <w:sz w:val="21"/>
      <w:szCs w:val="21"/>
      <w:lang w:val="en-US" w:eastAsia="zh-CN" w:bidi="ar-SA"/>
    </w:rPr>
  </w:style>
  <w:style w:type="paragraph" w:customStyle="1" w:styleId="16">
    <w:name w:val="正文118"/>
    <w:qFormat/>
    <w:uiPriority w:val="0"/>
    <w:pPr>
      <w:widowControl w:val="0"/>
      <w:spacing w:after="160" w:line="259" w:lineRule="auto"/>
      <w:jc w:val="both"/>
    </w:pPr>
    <w:rPr>
      <w:rFonts w:ascii="Calibri" w:hAnsi="Calibri" w:eastAsia="宋体" w:cs="Times New Roman"/>
      <w:kern w:val="2"/>
      <w:sz w:val="21"/>
      <w:szCs w:val="24"/>
      <w:lang w:val="en-US" w:eastAsia="en-US" w:bidi="ar-SA"/>
    </w:rPr>
  </w:style>
  <w:style w:type="paragraph" w:customStyle="1" w:styleId="17">
    <w:name w:val="样式 105 10 磅"/>
    <w:next w:val="18"/>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18">
    <w:name w:val="五级条标题"/>
    <w:basedOn w:val="19"/>
    <w:next w:val="9"/>
    <w:qFormat/>
    <w:uiPriority w:val="0"/>
    <w:pPr>
      <w:tabs>
        <w:tab w:val="left" w:pos="360"/>
        <w:tab w:val="left" w:pos="840"/>
        <w:tab w:val="left" w:pos="900"/>
      </w:tabs>
      <w:outlineLvl w:val="5"/>
    </w:pPr>
  </w:style>
  <w:style w:type="paragraph" w:customStyle="1" w:styleId="19">
    <w:name w:val="四级条标题"/>
    <w:basedOn w:val="20"/>
    <w:next w:val="9"/>
    <w:qFormat/>
    <w:uiPriority w:val="0"/>
    <w:pPr>
      <w:tabs>
        <w:tab w:val="left" w:pos="360"/>
        <w:tab w:val="left" w:pos="840"/>
      </w:tabs>
      <w:outlineLvl w:val="4"/>
    </w:pPr>
  </w:style>
  <w:style w:type="paragraph" w:customStyle="1" w:styleId="20">
    <w:name w:val="三级条标题"/>
    <w:basedOn w:val="21"/>
    <w:next w:val="9"/>
    <w:qFormat/>
    <w:uiPriority w:val="0"/>
    <w:pPr>
      <w:tabs>
        <w:tab w:val="left" w:pos="360"/>
        <w:tab w:val="left" w:pos="840"/>
      </w:tabs>
      <w:outlineLvl w:val="3"/>
    </w:pPr>
  </w:style>
  <w:style w:type="paragraph" w:customStyle="1" w:styleId="21">
    <w:name w:val="二级条标题"/>
    <w:basedOn w:val="22"/>
    <w:next w:val="9"/>
    <w:qFormat/>
    <w:uiPriority w:val="0"/>
    <w:pPr>
      <w:tabs>
        <w:tab w:val="left" w:pos="360"/>
        <w:tab w:val="left" w:pos="840"/>
      </w:tabs>
      <w:outlineLvl w:val="2"/>
    </w:pPr>
    <w:rPr>
      <w:rFonts w:ascii="宋体" w:eastAsia="宋体"/>
      <w:b w:val="0"/>
    </w:rPr>
  </w:style>
  <w:style w:type="paragraph" w:customStyle="1" w:styleId="22">
    <w:name w:val="一级条标题"/>
    <w:basedOn w:val="23"/>
    <w:next w:val="9"/>
    <w:qFormat/>
    <w:uiPriority w:val="0"/>
    <w:pPr>
      <w:tabs>
        <w:tab w:val="left" w:pos="360"/>
        <w:tab w:val="left" w:pos="840"/>
      </w:tabs>
      <w:spacing w:beforeLines="0" w:afterLines="0"/>
      <w:ind w:hanging="840"/>
      <w:outlineLvl w:val="1"/>
    </w:pPr>
  </w:style>
  <w:style w:type="paragraph" w:customStyle="1" w:styleId="23">
    <w:name w:val="章标题"/>
    <w:next w:val="9"/>
    <w:qFormat/>
    <w:uiPriority w:val="0"/>
    <w:pPr>
      <w:spacing w:beforeLines="50" w:after="160" w:afterLines="50" w:line="460" w:lineRule="exact"/>
      <w:jc w:val="both"/>
      <w:outlineLvl w:val="0"/>
    </w:pPr>
    <w:rPr>
      <w:rFonts w:ascii="黑体" w:hAnsi="Times New Roman" w:eastAsia="黑体" w:cs="Times New Roman"/>
      <w:b/>
      <w:kern w:val="2"/>
      <w:sz w:val="28"/>
      <w:szCs w:val="28"/>
      <w:lang w:val="en-US" w:eastAsia="en-US" w:bidi="ar-SA"/>
    </w:rPr>
  </w:style>
  <w:style w:type="paragraph" w:customStyle="1" w:styleId="24">
    <w:name w:val="TOC 7_0"/>
    <w:basedOn w:val="1"/>
    <w:next w:val="9"/>
    <w:qFormat/>
    <w:uiPriority w:val="0"/>
    <w:pPr>
      <w:ind w:left="1260"/>
      <w:jc w:val="left"/>
    </w:pPr>
    <w:rPr>
      <w:rFonts w:ascii="等线" w:eastAsia="等线"/>
      <w:sz w:val="18"/>
      <w:szCs w:val="18"/>
    </w:rPr>
  </w:style>
  <w:style w:type="paragraph" w:customStyle="1" w:styleId="25">
    <w:name w:val="样式 5 10 磅"/>
    <w:next w:val="26"/>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customStyle="1" w:styleId="26">
    <w:name w:val="样式 样式 (西文) 宋体 首行缩进:  2.57 字符 + 首行缩进:  2.57 字符_0"/>
    <w:qFormat/>
    <w:uiPriority w:val="0"/>
    <w:pPr>
      <w:widowControl w:val="0"/>
      <w:spacing w:after="160" w:line="360" w:lineRule="auto"/>
      <w:ind w:firstLine="257"/>
      <w:jc w:val="both"/>
    </w:pPr>
    <w:rPr>
      <w:rFonts w:ascii="宋体" w:hAnsi="宋体" w:eastAsia="方正黑体_GBK" w:cs="宋体"/>
      <w:kern w:val="2"/>
      <w:sz w:val="24"/>
      <w:szCs w:val="28"/>
      <w:lang w:val="en-US" w:eastAsia="en-US" w:bidi="ar-SA"/>
    </w:rPr>
  </w:style>
  <w:style w:type="paragraph" w:customStyle="1" w:styleId="27">
    <w:name w:val="Footer_0"/>
    <w:basedOn w:val="1"/>
    <w:qFormat/>
    <w:uiPriority w:val="0"/>
    <w:pPr>
      <w:tabs>
        <w:tab w:val="center" w:pos="4153"/>
        <w:tab w:val="right" w:pos="8306"/>
      </w:tabs>
      <w:snapToGrid w:val="0"/>
      <w:jc w:val="left"/>
    </w:pPr>
    <w:rPr>
      <w:sz w:val="18"/>
      <w:szCs w:val="24"/>
    </w:rPr>
  </w:style>
  <w:style w:type="paragraph" w:customStyle="1" w:styleId="28">
    <w:name w:val="Heading 1_0"/>
    <w:basedOn w:val="1"/>
    <w:next w:val="9"/>
    <w:qFormat/>
    <w:uiPriority w:val="0"/>
    <w:pPr>
      <w:keepNext/>
      <w:widowControl/>
      <w:spacing w:before="240" w:after="60" w:line="240" w:lineRule="auto"/>
      <w:jc w:val="left"/>
      <w:outlineLvl w:val="0"/>
    </w:pPr>
    <w:rPr>
      <w:rFonts w:ascii="Arial" w:hAnsi="Arial" w:eastAsia="Times New Roman" w:cs="Arial"/>
      <w:b/>
      <w:bCs/>
      <w:kern w:val="32"/>
      <w:sz w:val="32"/>
      <w:szCs w:val="32"/>
      <w:lang w:eastAsia="en-US"/>
    </w:rPr>
  </w:style>
  <w:style w:type="paragraph" w:customStyle="1" w:styleId="29">
    <w:name w:val="Heading 2_0"/>
    <w:basedOn w:val="1"/>
    <w:next w:val="9"/>
    <w:qFormat/>
    <w:uiPriority w:val="0"/>
    <w:pPr>
      <w:keepNext/>
      <w:widowControl/>
      <w:spacing w:before="240" w:after="60" w:line="240" w:lineRule="auto"/>
      <w:jc w:val="left"/>
      <w:outlineLvl w:val="1"/>
    </w:pPr>
    <w:rPr>
      <w:rFonts w:ascii="Arial" w:hAnsi="Arial" w:eastAsia="Times New Roman" w:cs="Arial"/>
      <w:b/>
      <w:bCs/>
      <w:i/>
      <w:iCs/>
      <w:kern w:val="0"/>
      <w:sz w:val="28"/>
      <w:szCs w:val="28"/>
      <w:lang w:eastAsia="en-US"/>
    </w:rPr>
  </w:style>
  <w:style w:type="paragraph" w:customStyle="1" w:styleId="30">
    <w:name w:val="Heading 3_0"/>
    <w:basedOn w:val="1"/>
    <w:next w:val="9"/>
    <w:qFormat/>
    <w:uiPriority w:val="0"/>
    <w:pPr>
      <w:keepNext/>
      <w:widowControl/>
      <w:spacing w:before="240" w:after="60" w:line="240" w:lineRule="auto"/>
      <w:jc w:val="left"/>
      <w:outlineLvl w:val="2"/>
    </w:pPr>
    <w:rPr>
      <w:rFonts w:ascii="Arial" w:hAnsi="Arial" w:eastAsia="Times New Roman" w:cs="Arial"/>
      <w:b/>
      <w:bCs/>
      <w:kern w:val="0"/>
      <w:sz w:val="26"/>
      <w:szCs w:val="26"/>
      <w:lang w:eastAsia="en-US"/>
    </w:rPr>
  </w:style>
  <w:style w:type="paragraph" w:customStyle="1" w:styleId="31">
    <w:name w:val="18"/>
    <w:basedOn w:val="1"/>
    <w:qFormat/>
    <w:uiPriority w:val="0"/>
    <w:pPr>
      <w:widowControl/>
      <w:spacing w:after="0" w:line="240" w:lineRule="auto"/>
      <w:jc w:val="left"/>
    </w:pPr>
    <w:rPr>
      <w:rFonts w:eastAsia="Times New Roman"/>
      <w:kern w:val="0"/>
      <w:sz w:val="24"/>
      <w:lang w:eastAsia="en-US"/>
    </w:rPr>
  </w:style>
  <w:style w:type="paragraph" w:customStyle="1" w:styleId="32">
    <w:name w:val="Heading 4_0"/>
    <w:basedOn w:val="1"/>
    <w:next w:val="9"/>
    <w:qFormat/>
    <w:uiPriority w:val="0"/>
    <w:pPr>
      <w:keepNext/>
      <w:widowControl/>
      <w:spacing w:before="240" w:after="60" w:line="240" w:lineRule="auto"/>
      <w:jc w:val="left"/>
      <w:outlineLvl w:val="3"/>
    </w:pPr>
    <w:rPr>
      <w:rFonts w:eastAsia="Times New Roman"/>
      <w:b/>
      <w:bCs/>
      <w:kern w:val="0"/>
      <w:sz w:val="28"/>
      <w:szCs w:val="28"/>
      <w:lang w:eastAsia="en-US"/>
    </w:rPr>
  </w:style>
  <w:style w:type="paragraph" w:customStyle="1" w:styleId="33">
    <w:name w:val="17"/>
    <w:basedOn w:val="1"/>
    <w:qFormat/>
    <w:uiPriority w:val="0"/>
    <w:pPr>
      <w:widowControl/>
      <w:spacing w:after="0" w:line="240" w:lineRule="auto"/>
      <w:jc w:val="left"/>
    </w:pPr>
    <w:rPr>
      <w:rFonts w:eastAsia="Times New Roman"/>
      <w:kern w:val="0"/>
      <w:sz w:val="24"/>
      <w:lang w:eastAsia="en-US"/>
    </w:rPr>
  </w:style>
  <w:style w:type="paragraph" w:customStyle="1" w:styleId="34">
    <w:name w:val="MsoNormal"/>
    <w:basedOn w:val="1"/>
    <w:qFormat/>
    <w:uiPriority w:val="0"/>
    <w:pPr>
      <w:widowControl/>
      <w:spacing w:after="0" w:line="240" w:lineRule="auto"/>
      <w:jc w:val="left"/>
    </w:pPr>
    <w:rPr>
      <w:rFonts w:eastAsia="Times New Roman"/>
      <w:kern w:val="0"/>
      <w:sz w:val="24"/>
      <w:lang w:eastAsia="en-US"/>
    </w:rPr>
  </w:style>
  <w:style w:type="paragraph" w:customStyle="1" w:styleId="35">
    <w:name w:val="p"/>
    <w:basedOn w:val="1"/>
    <w:qFormat/>
    <w:uiPriority w:val="0"/>
    <w:pPr>
      <w:widowControl/>
      <w:spacing w:after="0" w:line="240" w:lineRule="auto"/>
      <w:jc w:val="left"/>
    </w:pPr>
    <w:rPr>
      <w:rFonts w:eastAsia="Times New Roman"/>
      <w:kern w:val="0"/>
      <w:sz w:val="24"/>
      <w:lang w:eastAsia="en-US"/>
    </w:rPr>
  </w:style>
  <w:style w:type="table" w:customStyle="1" w:styleId="36">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37">
    <w:name w:val="16"/>
    <w:basedOn w:val="1"/>
    <w:qFormat/>
    <w:uiPriority w:val="0"/>
    <w:pPr>
      <w:widowControl/>
      <w:spacing w:after="0" w:line="240" w:lineRule="auto"/>
      <w:jc w:val="left"/>
    </w:pPr>
    <w:rPr>
      <w:rFonts w:eastAsia="Times New Roman"/>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33</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2025-08-12T04:51:00Z</dcterms:created>
  <dc:creator>Administrator</dc:creator>
  <cp:lastModifiedBy>李帅</cp:lastModifiedBy>
  <cp:lastPrinted>2025-08-13T17:13:00Z</cp:lastPrinted>
  <dcterms:modified xsi:type="dcterms:W3CDTF">2026-07-21T06:37:44Z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